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ind/>
        <w:jc w:val="center"/>
        <w:rPr>
          <w:b w:val="1"/>
          <w:sz w:val="27"/>
        </w:rPr>
      </w:pPr>
      <w:r>
        <w:rPr>
          <w:b w:val="1"/>
        </w:rPr>
        <w:drawing>
          <wp:inline>
            <wp:extent cx="6299834" cy="8664125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6299834" cy="866412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sz w:val="27"/>
        </w:rPr>
        <w:br w:type="page"/>
      </w:r>
      <w:r>
        <w:rPr>
          <w:b w:val="1"/>
          <w:sz w:val="27"/>
        </w:rPr>
        <w:t>Пояснительная записка</w:t>
      </w:r>
    </w:p>
    <w:p w14:paraId="02000000">
      <w:pPr>
        <w:ind w:firstLine="540" w:left="0"/>
        <w:jc w:val="both"/>
        <w:rPr>
          <w:sz w:val="27"/>
        </w:rPr>
      </w:pPr>
      <w:r>
        <w:rPr>
          <w:sz w:val="27"/>
        </w:rPr>
        <w:t xml:space="preserve">Данная рабочая программа по </w:t>
      </w:r>
      <w:r>
        <w:rPr>
          <w:sz w:val="27"/>
        </w:rPr>
        <w:t>индивидуальному проекту</w:t>
      </w:r>
      <w:r>
        <w:rPr>
          <w:sz w:val="27"/>
        </w:rPr>
        <w:t xml:space="preserve"> </w:t>
      </w:r>
      <w:r>
        <w:rPr>
          <w:sz w:val="27"/>
        </w:rPr>
        <w:t xml:space="preserve">для </w:t>
      </w:r>
      <w:r>
        <w:rPr>
          <w:sz w:val="27"/>
        </w:rPr>
        <w:t>11</w:t>
      </w:r>
      <w:r>
        <w:rPr>
          <w:sz w:val="27"/>
        </w:rPr>
        <w:t xml:space="preserve"> класса </w:t>
      </w:r>
      <w:r>
        <w:rPr>
          <w:sz w:val="27"/>
        </w:rPr>
        <w:t>разработана на основе:</w:t>
      </w:r>
    </w:p>
    <w:p w14:paraId="03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  <w:rPr>
          <w:sz w:val="27"/>
        </w:rPr>
      </w:pPr>
      <w:r>
        <w:rPr>
          <w:color w:val="000000"/>
          <w:sz w:val="27"/>
          <w:highlight w:val="white"/>
        </w:rPr>
        <w:t>Федеральн</w:t>
      </w:r>
      <w:r>
        <w:rPr>
          <w:color w:val="000000"/>
          <w:sz w:val="27"/>
          <w:highlight w:val="white"/>
        </w:rPr>
        <w:t>ого</w:t>
      </w:r>
      <w:r>
        <w:rPr>
          <w:color w:val="000000"/>
          <w:sz w:val="27"/>
          <w:highlight w:val="white"/>
        </w:rPr>
        <w:t xml:space="preserve"> Закон</w:t>
      </w:r>
      <w:r>
        <w:rPr>
          <w:color w:val="000000"/>
          <w:sz w:val="27"/>
          <w:highlight w:val="white"/>
        </w:rPr>
        <w:t>а</w:t>
      </w:r>
      <w:r>
        <w:rPr>
          <w:color w:val="000000"/>
          <w:sz w:val="27"/>
          <w:highlight w:val="white"/>
        </w:rPr>
        <w:t xml:space="preserve"> «Об образовании в Российской Федерации» (от 29.12.2012 №273-ФЗ)</w:t>
      </w:r>
      <w:r>
        <w:rPr>
          <w:color w:val="000000"/>
          <w:sz w:val="27"/>
          <w:highlight w:val="white"/>
        </w:rPr>
        <w:t>.</w:t>
      </w:r>
    </w:p>
    <w:p w14:paraId="04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  <w:rPr>
          <w:sz w:val="27"/>
        </w:rPr>
      </w:pPr>
      <w:r>
        <w:rPr>
          <w:sz w:val="27"/>
        </w:rPr>
        <w:t>Федерального государственного образовательного стандарта основного общего образования, утвержденного приказом Министерства образования и науки РФ</w:t>
      </w:r>
      <w:r>
        <w:rPr>
          <w:sz w:val="27"/>
        </w:rPr>
        <w:t xml:space="preserve"> от 17 декабря 2010 года № 1897.</w:t>
      </w:r>
    </w:p>
    <w:p w14:paraId="05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  <w:rPr>
          <w:sz w:val="27"/>
        </w:rPr>
      </w:pPr>
      <w:r>
        <w:rPr>
          <w:sz w:val="27"/>
        </w:rPr>
        <w:t>Приказа</w:t>
      </w:r>
      <w:r>
        <w:rPr>
          <w:sz w:val="27"/>
        </w:rPr>
        <w:t xml:space="preserve"> Минпросвещения России от </w:t>
      </w:r>
      <w:r>
        <w:rPr>
          <w:sz w:val="27"/>
        </w:rPr>
        <w:t xml:space="preserve">20 мая </w:t>
      </w:r>
      <w:r>
        <w:rPr>
          <w:sz w:val="27"/>
        </w:rPr>
        <w:t>2020 г</w:t>
      </w:r>
      <w:r>
        <w:rPr>
          <w:sz w:val="27"/>
        </w:rPr>
        <w:t>.</w:t>
      </w:r>
      <w:r>
        <w:rPr>
          <w:sz w:val="27"/>
        </w:rPr>
        <w:t xml:space="preserve"> № 254 «Об утверждении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деятельность»</w:t>
      </w:r>
      <w:r>
        <w:rPr>
          <w:sz w:val="27"/>
        </w:rPr>
        <w:t>.</w:t>
      </w:r>
    </w:p>
    <w:p w14:paraId="06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  <w:rPr>
          <w:sz w:val="27"/>
        </w:rPr>
      </w:pPr>
      <w:r>
        <w:rPr>
          <w:sz w:val="27"/>
        </w:rPr>
        <w:t>Образовательной программы</w:t>
      </w:r>
      <w:r>
        <w:rPr>
          <w:sz w:val="27"/>
        </w:rPr>
        <w:t xml:space="preserve"> </w:t>
      </w:r>
      <w:r>
        <w:rPr>
          <w:sz w:val="27"/>
        </w:rPr>
        <w:t>основного общего образования МБОУ «Леплейская СОШ»</w:t>
      </w:r>
      <w:r>
        <w:rPr>
          <w:sz w:val="27"/>
        </w:rPr>
        <w:t>.</w:t>
      </w:r>
    </w:p>
    <w:p w14:paraId="07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  <w:rPr>
          <w:sz w:val="27"/>
        </w:rPr>
      </w:pPr>
      <w:r>
        <w:rPr>
          <w:sz w:val="27"/>
        </w:rPr>
        <w:t xml:space="preserve">Примерными программами, созданными на основе Федерального </w:t>
      </w:r>
      <w:r>
        <w:rPr>
          <w:sz w:val="27"/>
        </w:rPr>
        <w:t>г</w:t>
      </w:r>
      <w:r>
        <w:rPr>
          <w:sz w:val="27"/>
        </w:rPr>
        <w:t>осударственного образовательного стандарта, входящими в государстве</w:t>
      </w:r>
      <w:r>
        <w:rPr>
          <w:sz w:val="27"/>
        </w:rPr>
        <w:t>нный реестр примерных программ (п</w:t>
      </w:r>
      <w:r>
        <w:rPr>
          <w:sz w:val="27"/>
        </w:rPr>
        <w:t>римерная основная образовательная программа среднего общего образования одобрена решением федерального учебно-методического объединения по общему образованию. Проток</w:t>
      </w:r>
      <w:r>
        <w:rPr>
          <w:sz w:val="27"/>
        </w:rPr>
        <w:t>ол от 28 июня 2016 г. № 2/16-з).</w:t>
      </w:r>
    </w:p>
    <w:p w14:paraId="08000000">
      <w:pPr>
        <w:pStyle w:val="Style_1"/>
        <w:numPr>
          <w:ilvl w:val="0"/>
          <w:numId w:val="1"/>
        </w:numPr>
        <w:tabs>
          <w:tab w:leader="none" w:pos="851" w:val="left"/>
        </w:tabs>
        <w:ind w:firstLine="567" w:left="0"/>
        <w:jc w:val="both"/>
      </w:pPr>
      <w:r>
        <w:rPr>
          <w:sz w:val="27"/>
        </w:rPr>
        <w:t>Учебного плана МБОУ «Леплейская СОШ»</w:t>
      </w:r>
      <w:r>
        <w:rPr>
          <w:sz w:val="27"/>
        </w:rPr>
        <w:t>.</w:t>
      </w:r>
      <w:r>
        <w:rPr>
          <w:sz w:val="27"/>
        </w:rPr>
        <w:t xml:space="preserve"> </w:t>
      </w:r>
    </w:p>
    <w:p w14:paraId="09000000">
      <w:pPr>
        <w:pStyle w:val="Style_2"/>
        <w:spacing w:after="0" w:before="0"/>
        <w:ind w:firstLine="567" w:left="0"/>
        <w:jc w:val="both"/>
        <w:rPr>
          <w:rStyle w:val="Style_3_ch"/>
          <w:color w:val="000000"/>
          <w:sz w:val="27"/>
        </w:rPr>
      </w:pPr>
      <w:r>
        <w:rPr>
          <w:rStyle w:val="Style_3_ch"/>
          <w:color w:val="000000"/>
          <w:sz w:val="27"/>
        </w:rPr>
        <w:t xml:space="preserve">При </w:t>
      </w:r>
      <w:r>
        <w:rPr>
          <w:rStyle w:val="Style_3_ch"/>
          <w:color w:val="000000"/>
          <w:sz w:val="27"/>
        </w:rPr>
        <w:t xml:space="preserve">реализации </w:t>
      </w:r>
      <w:r>
        <w:rPr>
          <w:rStyle w:val="Style_3_ch"/>
          <w:color w:val="000000"/>
          <w:sz w:val="27"/>
        </w:rPr>
        <w:t xml:space="preserve">данной </w:t>
      </w:r>
      <w:r>
        <w:rPr>
          <w:rStyle w:val="Style_3_ch"/>
          <w:color w:val="000000"/>
          <w:sz w:val="27"/>
        </w:rPr>
        <w:t>программы используется</w:t>
      </w:r>
      <w:r>
        <w:rPr>
          <w:rStyle w:val="Style_3_ch"/>
          <w:color w:val="000000"/>
          <w:sz w:val="27"/>
        </w:rPr>
        <w:t>:</w:t>
      </w:r>
      <w:r>
        <w:rPr>
          <w:rStyle w:val="Style_3_ch"/>
          <w:color w:val="000000"/>
          <w:sz w:val="27"/>
        </w:rPr>
        <w:t xml:space="preserve"> </w:t>
      </w:r>
    </w:p>
    <w:p w14:paraId="0A000000">
      <w:pPr>
        <w:pStyle w:val="Style_2"/>
        <w:spacing w:after="0" w:before="0"/>
        <w:ind w:firstLine="567" w:left="0"/>
        <w:jc w:val="both"/>
        <w:rPr>
          <w:color w:val="000000"/>
          <w:sz w:val="27"/>
        </w:rPr>
      </w:pPr>
      <w:r>
        <w:rPr>
          <w:color w:val="000000"/>
          <w:sz w:val="27"/>
        </w:rPr>
        <w:t xml:space="preserve">Индивидуальный проект. 10-11 </w:t>
      </w:r>
      <w:r>
        <w:rPr>
          <w:color w:val="000000"/>
          <w:sz w:val="27"/>
        </w:rPr>
        <w:t>классы: учебное пособие для общеобразовательных организаций</w:t>
      </w:r>
      <w:r>
        <w:rPr>
          <w:color w:val="000000"/>
          <w:sz w:val="27"/>
        </w:rPr>
        <w:t xml:space="preserve"> </w:t>
      </w:r>
      <w:r>
        <w:rPr>
          <w:color w:val="000000"/>
          <w:sz w:val="27"/>
        </w:rPr>
        <w:t>/ [М.В. Половкова, А.В. Носов, Т.В. Половкова, М.В. Майсак]. – М.: Просвещение, 2019</w:t>
      </w:r>
      <w:r>
        <w:rPr>
          <w:color w:val="000000"/>
          <w:sz w:val="27"/>
        </w:rPr>
        <w:t>.</w:t>
      </w:r>
    </w:p>
    <w:p w14:paraId="0B000000">
      <w:pPr>
        <w:ind w:firstLine="567" w:left="0"/>
        <w:rPr>
          <w:sz w:val="27"/>
        </w:rPr>
      </w:pPr>
    </w:p>
    <w:p w14:paraId="0C000000">
      <w:pPr>
        <w:ind w:firstLine="567" w:left="0"/>
        <w:jc w:val="both"/>
        <w:rPr>
          <w:sz w:val="27"/>
        </w:rPr>
      </w:pPr>
      <w:r>
        <w:rPr>
          <w:sz w:val="27"/>
        </w:rPr>
        <w:t>В случае перевода детей на дистанционный режим обучения, с целью сохранения</w:t>
      </w:r>
      <w:r>
        <w:rPr>
          <w:sz w:val="27"/>
        </w:rPr>
        <w:t xml:space="preserve"> </w:t>
      </w:r>
      <w:r>
        <w:rPr>
          <w:sz w:val="27"/>
        </w:rPr>
        <w:t>образовательного процесса между его участниками рекомендуется организовать работу</w:t>
      </w:r>
      <w:r>
        <w:rPr>
          <w:sz w:val="27"/>
        </w:rPr>
        <w:t xml:space="preserve"> </w:t>
      </w:r>
      <w:r>
        <w:rPr>
          <w:sz w:val="27"/>
        </w:rPr>
        <w:t>в приложении zoom, создать чаты с детьми и родителями (законными представителями)</w:t>
      </w:r>
      <w:r>
        <w:rPr>
          <w:sz w:val="27"/>
        </w:rPr>
        <w:t xml:space="preserve"> </w:t>
      </w:r>
      <w:r>
        <w:rPr>
          <w:sz w:val="27"/>
        </w:rPr>
        <w:t>в мессенджерах или социальных сетях, использова</w:t>
      </w:r>
      <w:r>
        <w:rPr>
          <w:sz w:val="27"/>
        </w:rPr>
        <w:t xml:space="preserve">ть интерактивные материалы сайтов </w:t>
      </w:r>
      <w:r>
        <w:rPr>
          <w:sz w:val="27"/>
        </w:rPr>
        <w:t>РЭШ, Учи ру, Якласс.</w:t>
      </w:r>
    </w:p>
    <w:p w14:paraId="0D000000">
      <w:pPr>
        <w:ind w:firstLine="567" w:left="0"/>
        <w:rPr>
          <w:sz w:val="27"/>
        </w:rPr>
      </w:pPr>
    </w:p>
    <w:p w14:paraId="0E000000">
      <w:pPr>
        <w:ind w:firstLine="567" w:left="0"/>
        <w:rPr>
          <w:sz w:val="27"/>
        </w:rPr>
      </w:pPr>
    </w:p>
    <w:p w14:paraId="0F000000">
      <w:pPr>
        <w:ind w:firstLine="567" w:left="0"/>
        <w:rPr>
          <w:sz w:val="27"/>
        </w:rPr>
      </w:pPr>
    </w:p>
    <w:p w14:paraId="10000000">
      <w:pPr>
        <w:ind w:firstLine="567" w:left="0"/>
        <w:rPr>
          <w:sz w:val="27"/>
        </w:rPr>
      </w:pPr>
    </w:p>
    <w:p w14:paraId="11000000">
      <w:pPr>
        <w:ind w:firstLine="567" w:left="0"/>
        <w:rPr>
          <w:sz w:val="27"/>
        </w:rPr>
      </w:pPr>
    </w:p>
    <w:p w14:paraId="12000000">
      <w:pPr>
        <w:ind w:firstLine="567" w:left="0"/>
        <w:rPr>
          <w:sz w:val="27"/>
        </w:rPr>
      </w:pPr>
    </w:p>
    <w:p w14:paraId="13000000">
      <w:pPr>
        <w:ind w:firstLine="567" w:left="0"/>
        <w:rPr>
          <w:sz w:val="27"/>
        </w:rPr>
      </w:pPr>
    </w:p>
    <w:p w14:paraId="14000000">
      <w:pPr>
        <w:ind w:firstLine="567" w:left="0"/>
        <w:rPr>
          <w:sz w:val="27"/>
        </w:rPr>
      </w:pPr>
    </w:p>
    <w:p w14:paraId="15000000">
      <w:pPr>
        <w:ind w:firstLine="567" w:left="0"/>
        <w:rPr>
          <w:sz w:val="27"/>
        </w:rPr>
      </w:pPr>
    </w:p>
    <w:p w14:paraId="16000000">
      <w:pPr>
        <w:ind w:firstLine="567" w:left="0"/>
        <w:rPr>
          <w:sz w:val="27"/>
        </w:rPr>
      </w:pPr>
    </w:p>
    <w:p w14:paraId="17000000">
      <w:pPr>
        <w:ind w:firstLine="567" w:left="0"/>
        <w:rPr>
          <w:sz w:val="27"/>
        </w:rPr>
      </w:pPr>
    </w:p>
    <w:p w14:paraId="18000000">
      <w:pPr>
        <w:ind w:firstLine="567" w:left="0"/>
        <w:rPr>
          <w:sz w:val="27"/>
        </w:rPr>
      </w:pPr>
    </w:p>
    <w:p w14:paraId="19000000">
      <w:pPr>
        <w:ind w:firstLine="567" w:left="0"/>
        <w:rPr>
          <w:sz w:val="27"/>
        </w:rPr>
      </w:pPr>
    </w:p>
    <w:p w14:paraId="1A000000">
      <w:pPr>
        <w:ind w:firstLine="567" w:left="0"/>
        <w:rPr>
          <w:sz w:val="27"/>
        </w:rPr>
      </w:pPr>
    </w:p>
    <w:p w14:paraId="1B000000">
      <w:pPr>
        <w:ind w:firstLine="567" w:left="0"/>
        <w:rPr>
          <w:sz w:val="27"/>
        </w:rPr>
      </w:pPr>
    </w:p>
    <w:p w14:paraId="1C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В процессе изучения предмета «Ин</w:t>
      </w:r>
      <w:r>
        <w:rPr>
          <w:sz w:val="27"/>
        </w:rPr>
        <w:t xml:space="preserve">дивидуальный проект» реализуются следующие </w:t>
      </w:r>
      <w:r>
        <w:rPr>
          <w:b w:val="1"/>
          <w:sz w:val="27"/>
        </w:rPr>
        <w:t>цели</w:t>
      </w:r>
      <w:r>
        <w:rPr>
          <w:sz w:val="27"/>
        </w:rPr>
        <w:t xml:space="preserve"> –</w:t>
      </w:r>
      <w:r>
        <w:rPr>
          <w:sz w:val="27"/>
        </w:rPr>
        <w:t xml:space="preserve"> создание условий для формирования умений и навыков межпредметного проектирования, способствующих развитию личности </w:t>
      </w:r>
      <w:r>
        <w:rPr>
          <w:sz w:val="27"/>
        </w:rPr>
        <w:t>обучающихся</w:t>
      </w:r>
      <w:r>
        <w:rPr>
          <w:sz w:val="27"/>
        </w:rPr>
        <w:t>, а именно: адаптироваться в условиях сложного, изменчивого мира, проявлять социальную ответственность, самостоятельно добывать новые знания, конструктивно сотрудничать с окружающими людьми, генерировать новые идеи, творчески мыслить, научить рассматривать различные проблемы с позиции ученых, занимающихся научным исследованием.</w:t>
      </w:r>
    </w:p>
    <w:p w14:paraId="1D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Задачи обучения:</w:t>
      </w:r>
    </w:p>
    <w:p w14:paraId="1E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обучить навыкам проблематизации (формулирования ведущей проблемы и под проблемы, постановки задач, вытекающих из этих проблем); </w:t>
      </w:r>
    </w:p>
    <w:p w14:paraId="1F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- </w:t>
      </w:r>
      <w:r>
        <w:rPr>
          <w:sz w:val="27"/>
        </w:rPr>
        <w:t xml:space="preserve">обучить приёмам работы с неструктурированной информацией (сбор и обработка, анализ, интерпретация и оценка достоверности, аннотирование, реферирование, компиляция) и простым формам анализа данных; </w:t>
      </w:r>
    </w:p>
    <w:p w14:paraId="20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-</w:t>
      </w:r>
      <w:r>
        <w:rPr>
          <w:sz w:val="27"/>
        </w:rPr>
        <w:t xml:space="preserve"> развить навыков целеполагания, планирования деятельности и контроля; </w:t>
      </w:r>
    </w:p>
    <w:p w14:paraId="21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обучить методам творческого решения проектных задач; </w:t>
      </w:r>
    </w:p>
    <w:p w14:paraId="22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развитие навыков самоанализа и рефлексии (самоанализа успешности и результативности решения проблемы проекта); </w:t>
      </w:r>
    </w:p>
    <w:p w14:paraId="23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сформировать умение представления отчётности в вариативных формах; </w:t>
      </w:r>
    </w:p>
    <w:p w14:paraId="24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развить навыки конструктивного отношения к работе; </w:t>
      </w:r>
    </w:p>
    <w:p w14:paraId="25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>развить навыки публичного выступления.</w:t>
      </w:r>
    </w:p>
    <w:p w14:paraId="26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Место предмета в федеральном базисном учебном плане:</w:t>
      </w:r>
    </w:p>
    <w:p w14:paraId="27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В федеральном компоненте базисного плана на изучение </w:t>
      </w:r>
      <w:r>
        <w:rPr>
          <w:sz w:val="27"/>
        </w:rPr>
        <w:t>индивидуального проекта</w:t>
      </w:r>
      <w:r>
        <w:rPr>
          <w:sz w:val="27"/>
        </w:rPr>
        <w:t xml:space="preserve"> отведено</w:t>
      </w:r>
      <w:r>
        <w:rPr>
          <w:sz w:val="27"/>
        </w:rPr>
        <w:t>:</w:t>
      </w:r>
      <w:r>
        <w:rPr>
          <w:sz w:val="27"/>
        </w:rPr>
        <w:t xml:space="preserve"> </w:t>
      </w:r>
      <w:r>
        <w:rPr>
          <w:sz w:val="27"/>
        </w:rPr>
        <w:t>1</w:t>
      </w:r>
      <w:r>
        <w:rPr>
          <w:sz w:val="27"/>
        </w:rPr>
        <w:t xml:space="preserve"> </w:t>
      </w:r>
      <w:r>
        <w:rPr>
          <w:sz w:val="27"/>
        </w:rPr>
        <w:t>час</w:t>
      </w:r>
      <w:r>
        <w:rPr>
          <w:sz w:val="27"/>
        </w:rPr>
        <w:t xml:space="preserve"> </w:t>
      </w:r>
      <w:r>
        <w:rPr>
          <w:sz w:val="27"/>
        </w:rPr>
        <w:t xml:space="preserve">учебного времени в неделю, </w:t>
      </w:r>
      <w:r>
        <w:rPr>
          <w:sz w:val="27"/>
        </w:rPr>
        <w:t>3</w:t>
      </w:r>
      <w:r>
        <w:rPr>
          <w:sz w:val="27"/>
        </w:rPr>
        <w:t>4</w:t>
      </w:r>
      <w:r>
        <w:rPr>
          <w:sz w:val="27"/>
        </w:rPr>
        <w:t xml:space="preserve"> час</w:t>
      </w:r>
      <w:r>
        <w:rPr>
          <w:sz w:val="27"/>
        </w:rPr>
        <w:t>а</w:t>
      </w:r>
      <w:r>
        <w:rPr>
          <w:sz w:val="27"/>
        </w:rPr>
        <w:t xml:space="preserve"> в год</w:t>
      </w:r>
      <w:r>
        <w:rPr>
          <w:sz w:val="27"/>
        </w:rPr>
        <w:t>.</w:t>
      </w:r>
      <w:r>
        <w:rPr>
          <w:sz w:val="27"/>
        </w:rPr>
        <w:tab/>
      </w:r>
    </w:p>
    <w:p w14:paraId="28000000">
      <w:pPr>
        <w:pStyle w:val="Style_4"/>
        <w:ind w:firstLine="567" w:left="0"/>
        <w:jc w:val="both"/>
        <w:rPr>
          <w:sz w:val="27"/>
        </w:rPr>
      </w:pPr>
    </w:p>
    <w:p w14:paraId="29000000">
      <w:pPr>
        <w:pStyle w:val="Style_4"/>
        <w:ind w:firstLine="567" w:left="0"/>
        <w:jc w:val="both"/>
        <w:rPr>
          <w:sz w:val="27"/>
        </w:rPr>
      </w:pPr>
    </w:p>
    <w:p w14:paraId="2A000000">
      <w:pPr>
        <w:pStyle w:val="Style_4"/>
        <w:ind w:firstLine="567" w:left="0"/>
        <w:jc w:val="both"/>
        <w:rPr>
          <w:sz w:val="27"/>
        </w:rPr>
      </w:pPr>
    </w:p>
    <w:p w14:paraId="2B000000">
      <w:pPr>
        <w:pStyle w:val="Style_4"/>
        <w:ind w:firstLine="567" w:left="0"/>
        <w:jc w:val="both"/>
        <w:rPr>
          <w:sz w:val="27"/>
        </w:rPr>
      </w:pPr>
    </w:p>
    <w:p w14:paraId="2C000000">
      <w:pPr>
        <w:pStyle w:val="Style_4"/>
        <w:ind w:firstLine="567" w:left="0"/>
        <w:jc w:val="both"/>
        <w:rPr>
          <w:sz w:val="27"/>
        </w:rPr>
      </w:pPr>
    </w:p>
    <w:p w14:paraId="2D000000">
      <w:pPr>
        <w:pStyle w:val="Style_4"/>
        <w:ind w:firstLine="567" w:left="0"/>
        <w:jc w:val="both"/>
        <w:rPr>
          <w:sz w:val="27"/>
        </w:rPr>
      </w:pPr>
    </w:p>
    <w:p w14:paraId="2E000000">
      <w:pPr>
        <w:pStyle w:val="Style_4"/>
        <w:ind w:firstLine="567" w:left="0"/>
        <w:jc w:val="both"/>
        <w:rPr>
          <w:sz w:val="27"/>
        </w:rPr>
      </w:pPr>
    </w:p>
    <w:p w14:paraId="2F000000">
      <w:pPr>
        <w:pStyle w:val="Style_4"/>
        <w:ind w:firstLine="567" w:left="0"/>
        <w:jc w:val="both"/>
        <w:rPr>
          <w:sz w:val="27"/>
        </w:rPr>
      </w:pPr>
    </w:p>
    <w:p w14:paraId="30000000">
      <w:pPr>
        <w:pStyle w:val="Style_4"/>
        <w:ind w:firstLine="567" w:left="0"/>
        <w:jc w:val="both"/>
        <w:rPr>
          <w:sz w:val="27"/>
        </w:rPr>
      </w:pPr>
    </w:p>
    <w:p w14:paraId="31000000">
      <w:pPr>
        <w:pStyle w:val="Style_4"/>
        <w:ind w:firstLine="567" w:left="0"/>
        <w:jc w:val="both"/>
        <w:rPr>
          <w:sz w:val="27"/>
        </w:rPr>
      </w:pPr>
    </w:p>
    <w:p w14:paraId="32000000">
      <w:pPr>
        <w:pStyle w:val="Style_4"/>
        <w:ind w:firstLine="567" w:left="0"/>
        <w:jc w:val="both"/>
        <w:rPr>
          <w:sz w:val="27"/>
        </w:rPr>
      </w:pPr>
    </w:p>
    <w:p w14:paraId="33000000">
      <w:pPr>
        <w:pStyle w:val="Style_4"/>
        <w:ind w:firstLine="567" w:left="0"/>
        <w:jc w:val="both"/>
        <w:rPr>
          <w:sz w:val="27"/>
        </w:rPr>
      </w:pPr>
    </w:p>
    <w:p w14:paraId="34000000">
      <w:pPr>
        <w:pStyle w:val="Style_4"/>
        <w:ind w:firstLine="567" w:left="0"/>
        <w:jc w:val="both"/>
        <w:rPr>
          <w:sz w:val="27"/>
        </w:rPr>
      </w:pPr>
    </w:p>
    <w:p w14:paraId="35000000">
      <w:pPr>
        <w:ind/>
        <w:jc w:val="center"/>
        <w:rPr>
          <w:b w:val="1"/>
          <w:sz w:val="27"/>
        </w:rPr>
      </w:pPr>
    </w:p>
    <w:p w14:paraId="36000000">
      <w:pPr>
        <w:ind/>
        <w:jc w:val="center"/>
        <w:rPr>
          <w:b w:val="1"/>
          <w:sz w:val="27"/>
        </w:rPr>
      </w:pPr>
    </w:p>
    <w:p w14:paraId="37000000">
      <w:pPr>
        <w:ind/>
        <w:jc w:val="center"/>
        <w:rPr>
          <w:b w:val="1"/>
          <w:sz w:val="27"/>
        </w:rPr>
      </w:pPr>
    </w:p>
    <w:p w14:paraId="38000000">
      <w:pPr>
        <w:ind/>
        <w:jc w:val="center"/>
        <w:rPr>
          <w:b w:val="1"/>
          <w:sz w:val="27"/>
        </w:rPr>
      </w:pPr>
    </w:p>
    <w:p w14:paraId="39000000">
      <w:pPr>
        <w:ind/>
        <w:jc w:val="center"/>
        <w:rPr>
          <w:b w:val="1"/>
          <w:sz w:val="27"/>
        </w:rPr>
      </w:pPr>
    </w:p>
    <w:p w14:paraId="3A000000">
      <w:pPr>
        <w:ind/>
        <w:jc w:val="center"/>
        <w:rPr>
          <w:b w:val="1"/>
          <w:sz w:val="27"/>
        </w:rPr>
      </w:pPr>
    </w:p>
    <w:p w14:paraId="3B000000">
      <w:pPr>
        <w:ind/>
        <w:jc w:val="center"/>
        <w:rPr>
          <w:b w:val="1"/>
          <w:sz w:val="27"/>
        </w:rPr>
      </w:pPr>
    </w:p>
    <w:p w14:paraId="3C000000">
      <w:pPr>
        <w:ind/>
        <w:jc w:val="center"/>
        <w:rPr>
          <w:b w:val="1"/>
          <w:sz w:val="27"/>
        </w:rPr>
      </w:pPr>
    </w:p>
    <w:p w14:paraId="3D000000">
      <w:pPr>
        <w:ind/>
        <w:jc w:val="center"/>
        <w:rPr>
          <w:b w:val="1"/>
          <w:sz w:val="27"/>
        </w:rPr>
      </w:pPr>
    </w:p>
    <w:p w14:paraId="3E000000">
      <w:pPr>
        <w:ind/>
        <w:jc w:val="center"/>
        <w:rPr>
          <w:b w:val="1"/>
          <w:sz w:val="27"/>
        </w:rPr>
      </w:pPr>
      <w:r>
        <w:rPr>
          <w:b w:val="1"/>
          <w:sz w:val="27"/>
        </w:rPr>
        <w:t>Планируемые результаты освоения учебного предмета</w:t>
      </w:r>
    </w:p>
    <w:p w14:paraId="3F000000">
      <w:pPr>
        <w:ind w:firstLine="567" w:left="0"/>
        <w:jc w:val="both"/>
        <w:rPr>
          <w:sz w:val="27"/>
        </w:rPr>
      </w:pPr>
      <w:r>
        <w:rPr>
          <w:b w:val="1"/>
          <w:i w:val="1"/>
          <w:sz w:val="27"/>
        </w:rPr>
        <w:t>Личностные результаты</w:t>
      </w:r>
      <w:r>
        <w:rPr>
          <w:sz w:val="27"/>
        </w:rPr>
        <w:t xml:space="preserve"> освоения основной образовательной программы должны отражать: </w:t>
      </w:r>
    </w:p>
    <w:p w14:paraId="40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 </w:t>
      </w:r>
    </w:p>
    <w:p w14:paraId="41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 </w:t>
      </w:r>
    </w:p>
    <w:p w14:paraId="42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- г</w:t>
      </w:r>
      <w:r>
        <w:rPr>
          <w:sz w:val="27"/>
        </w:rPr>
        <w:t xml:space="preserve">отовность к служению Отечеству, его защите;  </w:t>
      </w:r>
    </w:p>
    <w:p w14:paraId="43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14:paraId="44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14:paraId="45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толерантное сознание и поведение в поликультурном мире, готовность и способность вести диалог </w:t>
      </w:r>
      <w:r>
        <w:rPr>
          <w:sz w:val="27"/>
        </w:rPr>
        <w:t>с другими людьми, достигать в не</w:t>
      </w:r>
      <w:r>
        <w:rPr>
          <w:sz w:val="27"/>
        </w:rPr>
        <w:t xml:space="preserve">м взаимопонимания, находить общие цели и сотрудничать для их достижения; </w:t>
      </w:r>
    </w:p>
    <w:p w14:paraId="46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  </w:t>
      </w:r>
    </w:p>
    <w:p w14:paraId="47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нравственное сознание и поведение на основе усвоения общечеловеческих ценностей; </w:t>
      </w:r>
    </w:p>
    <w:p w14:paraId="48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 </w:t>
      </w:r>
    </w:p>
    <w:p w14:paraId="49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>сформированность экологического мышления, понимания влияния социально</w:t>
      </w:r>
      <w:r>
        <w:rPr>
          <w:sz w:val="27"/>
        </w:rPr>
        <w:t>-</w:t>
      </w:r>
      <w:r>
        <w:rPr>
          <w:sz w:val="27"/>
        </w:rPr>
        <w:t xml:space="preserve">экономических процессов на состояние природной и социальной среды; приобретение опыта эколого-направленной деятельности;  </w:t>
      </w:r>
    </w:p>
    <w:p w14:paraId="4A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ответственное отношение к созданию семьи на основе осознанного принятия ценностей семейной жизни.   </w:t>
      </w:r>
    </w:p>
    <w:p w14:paraId="4B000000">
      <w:pPr>
        <w:ind w:firstLine="567" w:left="0"/>
        <w:jc w:val="both"/>
        <w:rPr>
          <w:sz w:val="27"/>
        </w:rPr>
      </w:pPr>
      <w:r>
        <w:rPr>
          <w:sz w:val="27"/>
        </w:rPr>
        <w:t xml:space="preserve"> </w:t>
      </w:r>
      <w:r>
        <w:rPr>
          <w:b w:val="1"/>
          <w:i w:val="1"/>
          <w:sz w:val="27"/>
        </w:rPr>
        <w:t>Метапредметные результаты</w:t>
      </w:r>
      <w:r>
        <w:rPr>
          <w:sz w:val="27"/>
        </w:rPr>
        <w:t xml:space="preserve"> освоения основной образовательной программы должны отражать: </w:t>
      </w:r>
    </w:p>
    <w:p w14:paraId="4C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 </w:t>
      </w:r>
    </w:p>
    <w:p w14:paraId="4D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 </w:t>
      </w:r>
    </w:p>
    <w:p w14:paraId="4E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14:paraId="4F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готовность и способность к самостоятельной информационно-познавательной деятельности,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источников; </w:t>
      </w:r>
    </w:p>
    <w:p w14:paraId="50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>умение исполь</w:t>
      </w:r>
      <w:r>
        <w:rPr>
          <w:sz w:val="27"/>
        </w:rPr>
        <w:t xml:space="preserve">зовать средства информационных и коммуникационных технологий (далее –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</w:t>
      </w:r>
    </w:p>
    <w:p w14:paraId="51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умение определять назначение и функции различных социальных институтов;  </w:t>
      </w:r>
    </w:p>
    <w:p w14:paraId="52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>умение самостоятельно оценивать и принимать решения, определ</w:t>
      </w:r>
      <w:r>
        <w:rPr>
          <w:sz w:val="27"/>
        </w:rPr>
        <w:t>яющие стратегию поведения, с уче</w:t>
      </w:r>
      <w:r>
        <w:rPr>
          <w:sz w:val="27"/>
        </w:rPr>
        <w:t xml:space="preserve">том гражданских и нравственных ценностей; </w:t>
      </w:r>
    </w:p>
    <w:p w14:paraId="53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владение языковыми средствами – умение ясно, логично и точно излагать свою точку зрения, использовать адекватные языковые средства;  </w:t>
      </w:r>
    </w:p>
    <w:p w14:paraId="54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  </w:t>
      </w:r>
    </w:p>
    <w:p w14:paraId="55000000">
      <w:pPr>
        <w:ind w:firstLine="567" w:left="0"/>
        <w:jc w:val="both"/>
        <w:rPr>
          <w:sz w:val="27"/>
        </w:rPr>
      </w:pPr>
      <w:r>
        <w:rPr>
          <w:b w:val="1"/>
          <w:i w:val="1"/>
          <w:sz w:val="27"/>
        </w:rPr>
        <w:t xml:space="preserve">Предметные результаты </w:t>
      </w:r>
      <w:r>
        <w:rPr>
          <w:sz w:val="27"/>
        </w:rPr>
        <w:t xml:space="preserve">освоения основной образовательной программы должны отражать: </w:t>
      </w:r>
    </w:p>
    <w:p w14:paraId="56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знание основ методологии исследовательской и проектной деятельности; </w:t>
      </w:r>
    </w:p>
    <w:p w14:paraId="57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- </w:t>
      </w:r>
      <w:r>
        <w:rPr>
          <w:sz w:val="27"/>
        </w:rPr>
        <w:t xml:space="preserve">навыки формулировки темы исследовательской и проектной работы, доказывать ее актуальность; </w:t>
      </w:r>
    </w:p>
    <w:p w14:paraId="58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умение составлять индивидуальный план исследовательской и проектной работы; </w:t>
      </w:r>
    </w:p>
    <w:p w14:paraId="59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выделять объект и предмет исследовательской и проектной работы; </w:t>
      </w:r>
    </w:p>
    <w:p w14:paraId="5A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определять цель и задачи исследовательской и проектной работы; </w:t>
      </w:r>
    </w:p>
    <w:p w14:paraId="5B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работать с различными источниками, в том числе с первоисточниками, грамотно их цитировать, оформлять библиографические ссылки, составлять библиографический список по проблеме; </w:t>
      </w:r>
    </w:p>
    <w:p w14:paraId="5C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выбирать и применять на практике методы исследовательской деятельности адекватные задачам исследования; </w:t>
      </w:r>
    </w:p>
    <w:p w14:paraId="5D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рецензировать чужую исследовательскую или проектную работы; </w:t>
      </w:r>
    </w:p>
    <w:p w14:paraId="5E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наблюдать за биологическими, экологическими и социальными явлениями; </w:t>
      </w:r>
    </w:p>
    <w:p w14:paraId="5F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описывать результаты наблюдений, обсуждения полученных фактов; </w:t>
      </w:r>
    </w:p>
    <w:p w14:paraId="60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проводить опыт в соответствии с задачами, объяснить результаты; </w:t>
      </w:r>
    </w:p>
    <w:p w14:paraId="61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проводить измерения с помощью различных приборов; </w:t>
      </w:r>
    </w:p>
    <w:p w14:paraId="62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выполнять письменные инструкции правил безопасности; </w:t>
      </w:r>
    </w:p>
    <w:p w14:paraId="63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- </w:t>
      </w:r>
      <w:r>
        <w:rPr>
          <w:sz w:val="27"/>
        </w:rPr>
        <w:t xml:space="preserve">оформлять результаты исследования с помощью описания фактов, составления простых таблиц, графиков, формулирования выводов. </w:t>
      </w:r>
    </w:p>
    <w:p w14:paraId="64000000">
      <w:pPr>
        <w:ind w:firstLine="567" w:left="0"/>
        <w:jc w:val="both"/>
        <w:rPr>
          <w:sz w:val="27"/>
        </w:rPr>
      </w:pPr>
    </w:p>
    <w:p w14:paraId="65000000">
      <w:pPr>
        <w:ind w:firstLine="567" w:left="0"/>
        <w:jc w:val="both"/>
        <w:rPr>
          <w:sz w:val="27"/>
        </w:rPr>
      </w:pPr>
    </w:p>
    <w:p w14:paraId="66000000">
      <w:pPr>
        <w:ind w:firstLine="567" w:left="0"/>
        <w:jc w:val="both"/>
        <w:rPr>
          <w:sz w:val="27"/>
        </w:rPr>
      </w:pPr>
    </w:p>
    <w:p w14:paraId="67000000">
      <w:pPr>
        <w:ind/>
        <w:jc w:val="center"/>
        <w:rPr>
          <w:b w:val="1"/>
          <w:sz w:val="27"/>
        </w:rPr>
      </w:pPr>
      <w:r>
        <w:rPr>
          <w:b w:val="1"/>
          <w:sz w:val="27"/>
        </w:rPr>
        <w:t>Содержание тем учебного курса</w:t>
      </w:r>
      <w:r>
        <w:rPr>
          <w:b w:val="1"/>
          <w:sz w:val="27"/>
        </w:rPr>
        <w:t xml:space="preserve"> (34 ч)</w:t>
      </w:r>
    </w:p>
    <w:p w14:paraId="68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Введение</w:t>
      </w:r>
      <w:r>
        <w:rPr>
          <w:b w:val="1"/>
          <w:sz w:val="27"/>
        </w:rPr>
        <w:t xml:space="preserve"> (1 ч)</w:t>
      </w:r>
    </w:p>
    <w:p w14:paraId="69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Краткое повторение изученного материала 10 класса.</w:t>
      </w:r>
    </w:p>
    <w:p w14:paraId="6A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Трудности реализации проекта</w:t>
      </w:r>
      <w:r>
        <w:rPr>
          <w:b w:val="1"/>
          <w:sz w:val="27"/>
        </w:rPr>
        <w:t xml:space="preserve"> (5 ч)</w:t>
      </w:r>
    </w:p>
    <w:p w14:paraId="6B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 xml:space="preserve">Жизненный цикл проекта. Жизненный цикл изделия. Рефлексия. Риски проекта. Факторы риска. Стартап. Анализ и сравнение проектных замыслов. Краеведческий проект. Анализ проектов сверстников. </w:t>
      </w:r>
    </w:p>
    <w:p w14:paraId="6C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Дополнительные возможности улучшения проекта</w:t>
      </w:r>
      <w:r>
        <w:rPr>
          <w:b w:val="1"/>
          <w:sz w:val="27"/>
        </w:rPr>
        <w:t xml:space="preserve"> (9 ч)</w:t>
      </w:r>
    </w:p>
    <w:p w14:paraId="6D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Изобретение. Техн</w:t>
      </w:r>
      <w:r>
        <w:rPr>
          <w:sz w:val="27"/>
        </w:rPr>
        <w:t xml:space="preserve">ология. Технологические долины. </w:t>
      </w:r>
      <w:r>
        <w:rPr>
          <w:sz w:val="27"/>
        </w:rPr>
        <w:t>Агротехнологии. Инфраструктура. Базовый процесс. Вспомогательные процессы. Социологический процесс. Генеральная совокупность. Интервью. Анкетирование. Интернет-опрос. Выборка респондентов. Ошибка выборки. Анкета.</w:t>
      </w:r>
    </w:p>
    <w:p w14:paraId="6E000000">
      <w:pPr>
        <w:pStyle w:val="Style_4"/>
        <w:ind w:firstLine="567" w:left="0"/>
        <w:rPr>
          <w:b w:val="1"/>
          <w:sz w:val="27"/>
        </w:rPr>
      </w:pPr>
      <w:r>
        <w:rPr>
          <w:b w:val="1"/>
          <w:sz w:val="27"/>
        </w:rPr>
        <w:t>Управление оформлением и завершением проект</w:t>
      </w:r>
      <w:r>
        <w:rPr>
          <w:b w:val="1"/>
          <w:sz w:val="27"/>
        </w:rPr>
        <w:t>ов (12 ч)</w:t>
      </w:r>
    </w:p>
    <w:p w14:paraId="6F000000">
      <w:pPr>
        <w:pStyle w:val="Style_4"/>
        <w:ind w:firstLine="567" w:left="0"/>
        <w:rPr>
          <w:sz w:val="27"/>
        </w:rPr>
      </w:pPr>
      <w:r>
        <w:rPr>
          <w:sz w:val="27"/>
        </w:rPr>
        <w:t xml:space="preserve">Способы и формы представления данных. Работа в сети Интернет. Компьютерная обработка данных исследования. Библиография, справочная литература, каталоги. Оформление таблиц, рисунков и иллюстрированных плакатов, ссылок, сносок, списка литературы. Сбор и систематизация материалов по проектной работе. Требования к оформлению проектной работы. Критерии анализа и оценивания проектной работы. Публичное выступление. Главные предпосылки успеха публичного выступления. Навыки монологической речи. Аргументирующая речь. Умение отвечать на незапланированные вопросы.  Подготовка авторского доклада. </w:t>
      </w:r>
    </w:p>
    <w:p w14:paraId="70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>Презентация и защита проекта</w:t>
      </w:r>
      <w:r>
        <w:rPr>
          <w:b w:val="1"/>
          <w:sz w:val="27"/>
        </w:rPr>
        <w:t xml:space="preserve"> (2 ч)</w:t>
      </w:r>
    </w:p>
    <w:p w14:paraId="71000000">
      <w:pPr>
        <w:pStyle w:val="Style_4"/>
        <w:ind w:firstLine="567" w:left="0"/>
        <w:jc w:val="both"/>
        <w:rPr>
          <w:sz w:val="27"/>
        </w:rPr>
      </w:pPr>
      <w:r>
        <w:rPr>
          <w:sz w:val="27"/>
        </w:rPr>
        <w:t>Представление результатов индивидуального проекта.</w:t>
      </w:r>
    </w:p>
    <w:p w14:paraId="72000000">
      <w:pPr>
        <w:pStyle w:val="Style_4"/>
        <w:ind w:firstLine="567" w:left="0"/>
        <w:jc w:val="both"/>
        <w:rPr>
          <w:b w:val="1"/>
          <w:sz w:val="27"/>
        </w:rPr>
      </w:pPr>
      <w:r>
        <w:rPr>
          <w:b w:val="1"/>
          <w:sz w:val="27"/>
        </w:rPr>
        <w:t xml:space="preserve">Рефлексия </w:t>
      </w:r>
      <w:r>
        <w:rPr>
          <w:b w:val="1"/>
          <w:sz w:val="27"/>
        </w:rPr>
        <w:t>(5 ч)</w:t>
      </w:r>
    </w:p>
    <w:p w14:paraId="73000000">
      <w:pPr>
        <w:pStyle w:val="Style_4"/>
        <w:ind w:firstLine="567" w:left="0"/>
        <w:rPr>
          <w:sz w:val="27"/>
        </w:rPr>
      </w:pPr>
      <w:r>
        <w:rPr>
          <w:sz w:val="27"/>
        </w:rPr>
        <w:t>Самооценка индивидуального проекта. Основные положения Государственной системы стандартизации Российской Федерации и ее правовые основы, установленные законами РФ «О стандартизации» и «О защите прав потребителей», Государственная система стандартизации. Документы в области стандартизации. Сертификат соответствия. Патентное право в России</w:t>
      </w:r>
      <w:r>
        <w:rPr>
          <w:sz w:val="27"/>
        </w:rPr>
        <w:t>.</w:t>
      </w:r>
      <w:r>
        <w:rPr>
          <w:sz w:val="27"/>
        </w:rPr>
        <w:t xml:space="preserve"> </w:t>
      </w:r>
    </w:p>
    <w:p w14:paraId="74000000">
      <w:pPr>
        <w:tabs>
          <w:tab w:leader="none" w:pos="4644" w:val="left"/>
        </w:tabs>
        <w:ind w:firstLine="567" w:left="0"/>
        <w:jc w:val="both"/>
        <w:rPr>
          <w:sz w:val="25"/>
        </w:rPr>
      </w:pPr>
    </w:p>
    <w:p w14:paraId="75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6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7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8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9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A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B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C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D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E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7F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0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1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2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3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4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5000000">
      <w:pPr>
        <w:tabs>
          <w:tab w:leader="none" w:pos="4644" w:val="left"/>
        </w:tabs>
        <w:ind w:firstLine="567" w:left="0"/>
        <w:jc w:val="center"/>
        <w:rPr>
          <w:b w:val="1"/>
          <w:sz w:val="25"/>
        </w:rPr>
      </w:pPr>
    </w:p>
    <w:p w14:paraId="86000000">
      <w:pPr>
        <w:ind w:firstLine="567" w:left="0"/>
        <w:jc w:val="center"/>
        <w:rPr>
          <w:b w:val="1"/>
          <w:sz w:val="25"/>
        </w:rPr>
      </w:pPr>
      <w:r>
        <w:rPr>
          <w:b w:val="1"/>
          <w:sz w:val="25"/>
        </w:rPr>
        <w:t>Календарно-тематическое планирование</w:t>
      </w:r>
    </w:p>
    <w:p w14:paraId="87000000">
      <w:pPr>
        <w:ind/>
        <w:jc w:val="center"/>
        <w:rPr>
          <w:b w:val="1"/>
          <w:sz w:val="25"/>
        </w:rPr>
      </w:pPr>
    </w:p>
    <w:tbl>
      <w:tblPr>
        <w:tblStyle w:val="Style_5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1001"/>
        <w:gridCol w:w="5882"/>
        <w:gridCol w:w="1215"/>
        <w:gridCol w:w="1619"/>
      </w:tblGrid>
      <w:tr>
        <w:tc>
          <w:tcPr>
            <w:tcW w:type="dxa" w:w="1001"/>
            <w:tcBorders>
              <w:top w:color="000000" w:sz="12" w:val="single"/>
              <w:left w:color="000000" w:sz="12" w:val="single"/>
              <w:bottom w:color="000000" w:sz="12" w:val="single"/>
              <w:right w:color="000000" w:sz="12" w:val="single"/>
            </w:tcBorders>
            <w:shd w:fill="auto" w:val="clear"/>
          </w:tcPr>
          <w:p w14:paraId="88000000">
            <w:pPr>
              <w:tabs>
                <w:tab w:leader="none" w:pos="34" w:val="left"/>
              </w:tabs>
              <w:ind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№ урока</w:t>
            </w:r>
          </w:p>
        </w:tc>
        <w:tc>
          <w:tcPr>
            <w:tcW w:type="dxa" w:w="5882"/>
            <w:tcBorders>
              <w:top w:color="000000" w:sz="12" w:val="single"/>
              <w:left w:color="000000" w:sz="12" w:val="single"/>
              <w:bottom w:color="000000" w:sz="12" w:val="single"/>
              <w:right w:color="000000" w:sz="12" w:val="single"/>
            </w:tcBorders>
            <w:shd w:fill="auto" w:val="clear"/>
          </w:tcPr>
          <w:p w14:paraId="89000000">
            <w:pPr>
              <w:tabs>
                <w:tab w:leader="none" w:pos="567" w:val="left"/>
              </w:tabs>
              <w:ind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Наименование разделов и тем уроков</w:t>
            </w:r>
          </w:p>
        </w:tc>
        <w:tc>
          <w:tcPr>
            <w:tcW w:type="dxa" w:w="1215"/>
            <w:tcBorders>
              <w:top w:color="000000" w:sz="12" w:val="single"/>
              <w:left w:color="000000" w:sz="12" w:val="single"/>
              <w:bottom w:color="000000" w:sz="12" w:val="single"/>
              <w:right w:color="000000" w:sz="12" w:val="single"/>
            </w:tcBorders>
            <w:vAlign w:val="center"/>
          </w:tcPr>
          <w:p w14:paraId="8A000000">
            <w:pPr>
              <w:tabs>
                <w:tab w:leader="none" w:pos="567" w:val="left"/>
              </w:tabs>
              <w:ind w:right="-109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Дата</w:t>
            </w:r>
          </w:p>
          <w:p w14:paraId="8B000000">
            <w:pPr>
              <w:tabs>
                <w:tab w:leader="none" w:pos="567" w:val="left"/>
              </w:tabs>
              <w:ind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по плану</w:t>
            </w:r>
          </w:p>
        </w:tc>
        <w:tc>
          <w:tcPr>
            <w:tcW w:type="dxa" w:w="1619"/>
            <w:tcBorders>
              <w:top w:color="000000" w:sz="12" w:val="single"/>
              <w:left w:color="000000" w:sz="12" w:val="single"/>
              <w:bottom w:color="000000" w:sz="12" w:val="single"/>
              <w:right w:color="000000" w:sz="12" w:val="single"/>
            </w:tcBorders>
            <w:shd w:fill="auto" w:val="clear"/>
          </w:tcPr>
          <w:p w14:paraId="8C000000">
            <w:pPr>
              <w:tabs>
                <w:tab w:leader="none" w:pos="567" w:val="left"/>
              </w:tabs>
              <w:ind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Дата фактически</w:t>
            </w:r>
          </w:p>
        </w:tc>
      </w:tr>
      <w:tr>
        <w:trPr>
          <w:trHeight w:hRule="atLeast" w:val="373"/>
        </w:trPr>
        <w:tc>
          <w:tcPr>
            <w:tcW w:type="dxa" w:w="9717"/>
            <w:gridSpan w:val="4"/>
            <w:tcBorders>
              <w:top w:color="000000" w:sz="12" w:val="single"/>
              <w:left w:color="000000" w:sz="12" w:val="single"/>
              <w:bottom w:color="000000" w:sz="12" w:val="single"/>
              <w:right w:color="000000" w:sz="12" w:val="single"/>
            </w:tcBorders>
            <w:shd w:fill="FFFFFF" w:val="clear"/>
          </w:tcPr>
          <w:p w14:paraId="8D000000">
            <w:pPr>
              <w:tabs>
                <w:tab w:leader="none" w:pos="567" w:val="left"/>
              </w:tabs>
              <w:ind w:firstLine="34" w:left="0"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Введение (1 ч</w:t>
            </w:r>
            <w:r>
              <w:rPr>
                <w:b w:val="1"/>
                <w:sz w:val="25"/>
              </w:rPr>
              <w:t>)</w:t>
            </w:r>
          </w:p>
        </w:tc>
      </w:tr>
      <w:tr>
        <w:tc>
          <w:tcPr>
            <w:tcW w:type="dxa" w:w="1001"/>
            <w:tcBorders>
              <w:top w:color="000000" w:sz="12" w:val="single"/>
              <w:left w:color="000000" w:sz="12" w:val="single"/>
              <w:bottom w:color="000000" w:sz="4" w:val="single"/>
              <w:right w:color="000000" w:sz="8" w:val="single"/>
            </w:tcBorders>
            <w:shd w:fill="auto" w:val="clear"/>
          </w:tcPr>
          <w:p w14:paraId="8E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1</w:t>
            </w:r>
          </w:p>
        </w:tc>
        <w:tc>
          <w:tcPr>
            <w:tcW w:type="dxa" w:w="5882"/>
            <w:tcBorders>
              <w:top w:color="000000" w:sz="12" w:val="single"/>
              <w:left w:color="000000" w:sz="8" w:val="single"/>
              <w:bottom w:color="000000" w:sz="4" w:val="single"/>
              <w:right w:color="000000" w:sz="4" w:val="single"/>
            </w:tcBorders>
            <w:shd w:fill="auto" w:val="clear"/>
          </w:tcPr>
          <w:p w14:paraId="8F000000">
            <w:pPr>
              <w:tabs>
                <w:tab w:leader="none" w:pos="567" w:val="left"/>
                <w:tab w:leader="none" w:pos="2897" w:val="center"/>
              </w:tabs>
              <w:ind w:right="-1"/>
              <w:rPr>
                <w:color w:val="000000"/>
                <w:sz w:val="25"/>
              </w:rPr>
            </w:pPr>
            <w:r>
              <w:rPr>
                <w:color w:val="000000"/>
                <w:sz w:val="25"/>
              </w:rPr>
              <w:t>Вводный урок</w:t>
            </w:r>
            <w:r>
              <w:rPr>
                <w:color w:val="000000"/>
                <w:sz w:val="25"/>
              </w:rPr>
              <w:t>. Корректировка проекта с учетом рекомендаций.</w:t>
            </w:r>
          </w:p>
        </w:tc>
        <w:tc>
          <w:tcPr>
            <w:tcW w:type="dxa" w:w="1215"/>
            <w:tcBorders>
              <w:top w:color="000000" w:sz="12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90000000">
            <w:pPr>
              <w:tabs>
                <w:tab w:leader="none" w:pos="170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12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91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9717"/>
            <w:gridSpan w:val="4"/>
            <w:tcBorders>
              <w:top w:color="000000" w:sz="12" w:val="single"/>
              <w:left w:color="000000" w:sz="12" w:val="single"/>
              <w:bottom w:color="000000" w:sz="4" w:val="single"/>
              <w:right w:color="000000" w:sz="12" w:val="single"/>
            </w:tcBorders>
            <w:shd w:fill="auto" w:val="clear"/>
          </w:tcPr>
          <w:p w14:paraId="92000000">
            <w:pPr>
              <w:tabs>
                <w:tab w:leader="none" w:pos="567" w:val="left"/>
              </w:tabs>
              <w:ind w:right="-1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Модуль 6. Трудности реализации проекта (5 ч)</w:t>
            </w: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8" w:val="single"/>
            </w:tcBorders>
            <w:shd w:fill="auto" w:val="clear"/>
          </w:tcPr>
          <w:p w14:paraId="93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2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94000000">
            <w:pPr>
              <w:rPr>
                <w:sz w:val="25"/>
              </w:rPr>
            </w:pPr>
            <w:r>
              <w:rPr>
                <w:sz w:val="25"/>
              </w:rPr>
              <w:t>Переход от замысла к реализации проекта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95000000">
            <w:pPr>
              <w:tabs>
                <w:tab w:leader="none" w:pos="170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96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12" w:val="single"/>
              <w:right w:color="000000" w:sz="8" w:val="single"/>
            </w:tcBorders>
            <w:shd w:fill="auto" w:val="clear"/>
          </w:tcPr>
          <w:p w14:paraId="97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3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98000000">
            <w:pPr>
              <w:rPr>
                <w:sz w:val="25"/>
              </w:rPr>
            </w:pPr>
            <w:r>
              <w:rPr>
                <w:sz w:val="25"/>
              </w:rPr>
              <w:t>Риски проекта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12" w:val="single"/>
              <w:right w:color="000000" w:sz="4" w:val="single"/>
            </w:tcBorders>
            <w:vAlign w:val="center"/>
          </w:tcPr>
          <w:p w14:paraId="99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12" w:val="single"/>
              <w:right w:color="000000" w:sz="12" w:val="single"/>
            </w:tcBorders>
            <w:shd w:fill="auto" w:val="clear"/>
            <w:vAlign w:val="center"/>
          </w:tcPr>
          <w:p w14:paraId="9A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12" w:val="single"/>
              <w:right w:color="000000" w:sz="8" w:val="single"/>
            </w:tcBorders>
            <w:shd w:fill="auto" w:val="clear"/>
          </w:tcPr>
          <w:p w14:paraId="9B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4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9C000000">
            <w:pPr>
              <w:rPr>
                <w:sz w:val="25"/>
              </w:rPr>
            </w:pPr>
            <w:r>
              <w:rPr>
                <w:sz w:val="25"/>
              </w:rPr>
              <w:t>Практическое занятие. Анализ проектного замысла «Завод по переработке пластика»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12" w:val="single"/>
              <w:right w:color="000000" w:sz="4" w:val="single"/>
            </w:tcBorders>
          </w:tcPr>
          <w:p w14:paraId="9D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12" w:val="single"/>
              <w:right w:color="000000" w:sz="12" w:val="single"/>
            </w:tcBorders>
            <w:shd w:fill="auto" w:val="clear"/>
            <w:vAlign w:val="center"/>
          </w:tcPr>
          <w:p w14:paraId="9E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12" w:val="single"/>
              <w:right w:color="000000" w:sz="8" w:val="single"/>
            </w:tcBorders>
            <w:shd w:fill="auto" w:val="clear"/>
          </w:tcPr>
          <w:p w14:paraId="9F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5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A0000000">
            <w:pPr>
              <w:rPr>
                <w:sz w:val="25"/>
              </w:rPr>
            </w:pPr>
            <w:r>
              <w:rPr>
                <w:sz w:val="25"/>
              </w:rPr>
              <w:t>Практическое занятие. Анализ проектного замысла «Превратим мусор в ресурс». Сравнение проектных замыслов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12" w:val="single"/>
              <w:right w:color="000000" w:sz="4" w:val="single"/>
            </w:tcBorders>
          </w:tcPr>
          <w:p w14:paraId="A1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12" w:val="single"/>
              <w:right w:color="000000" w:sz="12" w:val="single"/>
            </w:tcBorders>
            <w:shd w:fill="auto" w:val="clear"/>
            <w:vAlign w:val="center"/>
          </w:tcPr>
          <w:p w14:paraId="A2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12" w:val="single"/>
              <w:right w:color="000000" w:sz="8" w:val="single"/>
            </w:tcBorders>
            <w:shd w:fill="auto" w:val="clear"/>
          </w:tcPr>
          <w:p w14:paraId="A3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sz w:val="25"/>
              </w:rPr>
              <w:t>6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A4000000">
            <w:pPr>
              <w:rPr>
                <w:sz w:val="25"/>
              </w:rPr>
            </w:pPr>
            <w:r>
              <w:rPr>
                <w:sz w:val="25"/>
              </w:rPr>
              <w:t>Практическое занятие. Анализ проектов сверстников: туризм и краеведение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12" w:val="single"/>
              <w:right w:color="000000" w:sz="4" w:val="single"/>
            </w:tcBorders>
          </w:tcPr>
          <w:p w14:paraId="A5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12" w:val="single"/>
              <w:right w:color="000000" w:sz="12" w:val="single"/>
            </w:tcBorders>
            <w:shd w:fill="auto" w:val="clear"/>
            <w:vAlign w:val="center"/>
          </w:tcPr>
          <w:p w14:paraId="A6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</w:p>
        </w:tc>
      </w:tr>
      <w:tr>
        <w:tc>
          <w:tcPr>
            <w:tcW w:type="dxa" w:w="9717"/>
            <w:gridSpan w:val="4"/>
            <w:tcBorders>
              <w:top w:color="000000" w:sz="4" w:val="single"/>
              <w:left w:color="000000" w:sz="12" w:val="single"/>
              <w:bottom w:color="000000" w:sz="12" w:val="single"/>
              <w:right w:color="000000" w:sz="12" w:val="single"/>
            </w:tcBorders>
            <w:shd w:fill="auto" w:val="clear"/>
          </w:tcPr>
          <w:p w14:paraId="A7000000">
            <w:pPr>
              <w:tabs>
                <w:tab w:leader="none" w:pos="567" w:val="left"/>
              </w:tabs>
              <w:ind w:right="-1"/>
              <w:jc w:val="center"/>
              <w:rPr>
                <w:sz w:val="25"/>
              </w:rPr>
            </w:pPr>
            <w:r>
              <w:rPr>
                <w:b w:val="1"/>
                <w:sz w:val="25"/>
              </w:rPr>
              <w:t>Модуль 7. Дополнительные возможности улучшения проекта (9 ч)</w:t>
            </w:r>
          </w:p>
        </w:tc>
      </w:tr>
      <w:tr>
        <w:tc>
          <w:tcPr>
            <w:tcW w:type="dxa" w:w="1001"/>
            <w:tcBorders>
              <w:top w:color="000000" w:sz="12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A8000000">
            <w:pPr>
              <w:tabs>
                <w:tab w:leader="none" w:pos="34" w:val="left"/>
                <w:tab w:leader="none" w:pos="176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7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A9000000">
            <w:pPr>
              <w:rPr>
                <w:sz w:val="25"/>
              </w:rPr>
            </w:pPr>
            <w:r>
              <w:rPr>
                <w:sz w:val="25"/>
              </w:rPr>
              <w:t>Технология как мост от идеи к продукту</w:t>
            </w:r>
          </w:p>
        </w:tc>
        <w:tc>
          <w:tcPr>
            <w:tcW w:type="dxa" w:w="1215"/>
            <w:tcBorders>
              <w:top w:color="000000" w:sz="12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AA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12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AB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AC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8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AD000000">
            <w:pPr>
              <w:rPr>
                <w:sz w:val="25"/>
              </w:rPr>
            </w:pPr>
            <w:r>
              <w:rPr>
                <w:sz w:val="25"/>
              </w:rPr>
              <w:t>Видим за проектом инфраструктуру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AE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AF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B0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9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B1000000">
            <w:pPr>
              <w:rPr>
                <w:sz w:val="25"/>
              </w:rPr>
            </w:pPr>
            <w:r>
              <w:rPr>
                <w:sz w:val="25"/>
              </w:rPr>
              <w:t>Опросы как эффективный инструмент проектирования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B2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B3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B4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10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B5000000">
            <w:pPr>
              <w:rPr>
                <w:sz w:val="25"/>
              </w:rPr>
            </w:pPr>
            <w:r>
              <w:rPr>
                <w:sz w:val="25"/>
              </w:rPr>
              <w:t>Разработка и проведение опроса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B6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B7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B8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11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B9000000">
            <w:pPr>
              <w:rPr>
                <w:sz w:val="25"/>
              </w:rPr>
            </w:pPr>
            <w:r>
              <w:rPr>
                <w:sz w:val="25"/>
              </w:rPr>
              <w:t>Возможности социальных сетей. Сетевые формы проектов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BA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BB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BC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12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BD000000">
            <w:pPr>
              <w:rPr>
                <w:sz w:val="25"/>
              </w:rPr>
            </w:pPr>
            <w:r>
              <w:rPr>
                <w:sz w:val="25"/>
              </w:rPr>
              <w:t>Использование видеоролика в продвижении проекта: Идея. Замысел. Тема. Сценарий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BE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BF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C0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13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C1000000">
            <w:pPr>
              <w:rPr>
                <w:sz w:val="25"/>
              </w:rPr>
            </w:pPr>
            <w:r>
              <w:rPr>
                <w:sz w:val="25"/>
              </w:rPr>
              <w:t>Использование видеоролика в продвижении проекта: Съёмка. Крупность планов. Ракурс. Панорама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2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C3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C4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14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C5000000">
            <w:pPr>
              <w:rPr>
                <w:sz w:val="25"/>
              </w:rPr>
            </w:pPr>
            <w:r>
              <w:rPr>
                <w:sz w:val="25"/>
              </w:rPr>
              <w:t>Использование видеоролика в продвижении проекта: Монтаж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6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C7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C8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15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C9000000">
            <w:pPr>
              <w:rPr>
                <w:sz w:val="25"/>
              </w:rPr>
            </w:pPr>
            <w:r>
              <w:rPr>
                <w:sz w:val="25"/>
              </w:rPr>
              <w:t>Оформление и предъявление результатов проектной и исследовательской деятельности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A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CB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9717"/>
            <w:gridSpan w:val="4"/>
            <w:tcBorders>
              <w:top w:color="000000" w:sz="4" w:val="single"/>
              <w:left w:color="000000" w:sz="12" w:val="single"/>
              <w:bottom w:color="000000" w:sz="4" w:val="single"/>
              <w:right w:color="000000" w:sz="12" w:val="single"/>
            </w:tcBorders>
            <w:shd w:fill="auto" w:val="clear"/>
          </w:tcPr>
          <w:p w14:paraId="CC000000">
            <w:pPr>
              <w:tabs>
                <w:tab w:leader="none" w:pos="567" w:val="left"/>
              </w:tabs>
              <w:ind w:hanging="23" w:left="57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Модуль 8. Управление оформлением и завершением проектов (12 ч)</w:t>
            </w: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CD000000">
            <w:pPr>
              <w:tabs>
                <w:tab w:leader="none" w:pos="34" w:val="left"/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16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CE000000">
            <w:pPr>
              <w:rPr>
                <w:sz w:val="25"/>
              </w:rPr>
            </w:pPr>
            <w:r>
              <w:rPr>
                <w:sz w:val="25"/>
              </w:rPr>
              <w:t>Способы и формы представления данных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F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D0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12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D1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17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D2000000">
            <w:pPr>
              <w:rPr>
                <w:sz w:val="25"/>
              </w:rPr>
            </w:pPr>
            <w:r>
              <w:rPr>
                <w:sz w:val="25"/>
              </w:rPr>
              <w:t>Работа в сети Интернет</w:t>
            </w:r>
          </w:p>
        </w:tc>
        <w:tc>
          <w:tcPr>
            <w:tcW w:type="dxa" w:w="1215"/>
            <w:tcBorders>
              <w:top w:color="000000" w:sz="12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3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12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D4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D5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18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D6000000">
            <w:pPr>
              <w:rPr>
                <w:sz w:val="25"/>
              </w:rPr>
            </w:pPr>
            <w:r>
              <w:rPr>
                <w:sz w:val="25"/>
              </w:rPr>
              <w:t>Компьютерная обработка данных исследования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7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D8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12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D9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19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DA000000">
            <w:pPr>
              <w:rPr>
                <w:sz w:val="25"/>
              </w:rPr>
            </w:pPr>
            <w:r>
              <w:rPr>
                <w:sz w:val="25"/>
              </w:rPr>
              <w:t>Библиография, справочная литература, каталоги</w:t>
            </w:r>
          </w:p>
        </w:tc>
        <w:tc>
          <w:tcPr>
            <w:tcW w:type="dxa" w:w="1215"/>
            <w:tcBorders>
              <w:top w:color="000000" w:sz="12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B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12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DC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DD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20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DE000000">
            <w:pPr>
              <w:rPr>
                <w:sz w:val="25"/>
              </w:rPr>
            </w:pPr>
            <w:r>
              <w:rPr>
                <w:sz w:val="25"/>
              </w:rPr>
              <w:t>Сбор и систематизация материалов по проектной работе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F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E0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E1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21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E2000000">
            <w:pPr>
              <w:rPr>
                <w:sz w:val="25"/>
              </w:rPr>
            </w:pPr>
            <w:r>
              <w:rPr>
                <w:sz w:val="25"/>
              </w:rPr>
              <w:t>Оформление таблиц, рисунков и иллюстрированных плакатов, ссылок, сносок, списка литературы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E3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E4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E5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22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E6000000">
            <w:pPr>
              <w:rPr>
                <w:sz w:val="25"/>
              </w:rPr>
            </w:pPr>
            <w:r>
              <w:rPr>
                <w:sz w:val="25"/>
              </w:rPr>
              <w:t>Требования к оформлению проектной работы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E7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E8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E9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23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EA000000">
            <w:pPr>
              <w:rPr>
                <w:sz w:val="25"/>
              </w:rPr>
            </w:pPr>
            <w:r>
              <w:rPr>
                <w:sz w:val="25"/>
              </w:rPr>
              <w:t>Критерии анализа и оценивания проектной работы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EB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EC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ED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24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EE000000">
            <w:pPr>
              <w:rPr>
                <w:sz w:val="25"/>
              </w:rPr>
            </w:pPr>
            <w:r>
              <w:rPr>
                <w:sz w:val="25"/>
              </w:rPr>
              <w:t>Публичное выступление. Главные предпосылки успеха публичного выступления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EF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F0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F1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25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F2000000">
            <w:pPr>
              <w:rPr>
                <w:sz w:val="25"/>
              </w:rPr>
            </w:pPr>
            <w:r>
              <w:rPr>
                <w:sz w:val="25"/>
              </w:rPr>
              <w:t>Навыки монологической речи. Аргументирующая речь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F3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F4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F5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26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F6000000">
            <w:pPr>
              <w:rPr>
                <w:sz w:val="25"/>
              </w:rPr>
            </w:pPr>
            <w:r>
              <w:rPr>
                <w:sz w:val="25"/>
              </w:rPr>
              <w:t>Умение отвечать на незапланированные вопросы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F7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F8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F9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27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FA000000">
            <w:pPr>
              <w:rPr>
                <w:sz w:val="25"/>
              </w:rPr>
            </w:pPr>
            <w:r>
              <w:rPr>
                <w:sz w:val="25"/>
              </w:rPr>
              <w:t>Подготовка авторского доклада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FB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FC00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9717"/>
            <w:gridSpan w:val="4"/>
            <w:tcBorders>
              <w:top w:color="000000" w:sz="4" w:val="single"/>
              <w:left w:color="000000" w:sz="12" w:val="single"/>
              <w:bottom w:color="000000" w:sz="4" w:val="single"/>
              <w:right w:color="000000" w:sz="12" w:val="single"/>
            </w:tcBorders>
            <w:shd w:fill="auto" w:val="clear"/>
          </w:tcPr>
          <w:p w14:paraId="FD000000">
            <w:pPr>
              <w:tabs>
                <w:tab w:leader="none" w:pos="567" w:val="left"/>
              </w:tabs>
              <w:ind w:hanging="23" w:left="57"/>
              <w:jc w:val="center"/>
              <w:rPr>
                <w:b w:val="1"/>
                <w:sz w:val="25"/>
              </w:rPr>
            </w:pPr>
            <w:r>
              <w:rPr>
                <w:b w:val="1"/>
                <w:sz w:val="25"/>
              </w:rPr>
              <w:t>Модуль 9. Презентация и защита проекта (2 ч)</w:t>
            </w: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FE00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28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FF000000">
            <w:pPr>
              <w:rPr>
                <w:sz w:val="25"/>
              </w:rPr>
            </w:pPr>
            <w:r>
              <w:rPr>
                <w:sz w:val="25"/>
              </w:rPr>
              <w:t>Представление результатов индивидуального проекта.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00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01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02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29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03010000">
            <w:pPr>
              <w:rPr>
                <w:sz w:val="25"/>
              </w:rPr>
            </w:pPr>
            <w:r>
              <w:rPr>
                <w:sz w:val="25"/>
              </w:rPr>
              <w:t>Представление результатов индивидуального проекта (продолжение)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04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05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9717"/>
            <w:gridSpan w:val="4"/>
            <w:tcBorders>
              <w:top w:color="000000" w:sz="4" w:val="single"/>
              <w:left w:color="000000" w:sz="12" w:val="single"/>
              <w:bottom w:color="000000" w:sz="4" w:val="single"/>
              <w:right w:color="000000" w:sz="12" w:val="single"/>
            </w:tcBorders>
            <w:shd w:fill="auto" w:val="clear"/>
          </w:tcPr>
          <w:p w14:paraId="06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b w:val="1"/>
                <w:sz w:val="25"/>
              </w:rPr>
              <w:t>Модуль 10. Рефлексия (5</w:t>
            </w:r>
            <w:r>
              <w:rPr>
                <w:b w:val="1"/>
                <w:sz w:val="25"/>
              </w:rPr>
              <w:t xml:space="preserve"> ч)</w:t>
            </w: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07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30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08010000">
            <w:pPr>
              <w:rPr>
                <w:sz w:val="25"/>
              </w:rPr>
            </w:pPr>
            <w:r>
              <w:rPr>
                <w:sz w:val="25"/>
              </w:rPr>
              <w:t>Самооценка индивидуального проекта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09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0A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0B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31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0C010000">
            <w:pPr>
              <w:rPr>
                <w:sz w:val="25"/>
              </w:rPr>
            </w:pPr>
            <w:r>
              <w:rPr>
                <w:sz w:val="25"/>
              </w:rPr>
              <w:t xml:space="preserve">Основные положения Государственной системы стандартизации Российской Федерации и ее правовые основы, установленные законами РФ </w:t>
            </w:r>
          </w:p>
          <w:p w14:paraId="0D010000">
            <w:pPr>
              <w:rPr>
                <w:sz w:val="25"/>
              </w:rPr>
            </w:pPr>
            <w:r>
              <w:rPr>
                <w:sz w:val="25"/>
              </w:rPr>
              <w:t xml:space="preserve">«О стандартизации» и «О защите прав потребителей» 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0E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0F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10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32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1010000">
            <w:pPr>
              <w:rPr>
                <w:sz w:val="25"/>
              </w:rPr>
            </w:pPr>
            <w:r>
              <w:rPr>
                <w:sz w:val="25"/>
              </w:rPr>
              <w:t>Государственная система стандартизации. Документы в области стандартизации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2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13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14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33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5010000">
            <w:pPr>
              <w:rPr>
                <w:sz w:val="25"/>
              </w:rPr>
            </w:pPr>
            <w:r>
              <w:rPr>
                <w:sz w:val="25"/>
              </w:rPr>
              <w:t>Сертификат соответствия. Патентное право в России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6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17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  <w:tr>
        <w:tc>
          <w:tcPr>
            <w:tcW w:type="dxa" w:w="1001"/>
            <w:tcBorders>
              <w:top w:color="000000" w:sz="4" w:val="single"/>
              <w:left w:color="000000" w:sz="12" w:val="single"/>
              <w:bottom w:color="000000" w:sz="4" w:val="single"/>
              <w:right w:color="000000" w:sz="4" w:val="single"/>
            </w:tcBorders>
            <w:shd w:fill="auto" w:val="clear"/>
          </w:tcPr>
          <w:p w14:paraId="18010000">
            <w:pPr>
              <w:tabs>
                <w:tab w:leader="none" w:pos="567" w:val="left"/>
              </w:tabs>
              <w:ind w:hanging="23" w:left="57"/>
              <w:jc w:val="center"/>
              <w:rPr>
                <w:sz w:val="25"/>
              </w:rPr>
            </w:pPr>
            <w:r>
              <w:rPr>
                <w:sz w:val="25"/>
              </w:rPr>
              <w:t>34</w:t>
            </w:r>
          </w:p>
        </w:tc>
        <w:tc>
          <w:tcPr>
            <w:tcW w:type="dxa" w:w="588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</w:tcPr>
          <w:p w14:paraId="19010000">
            <w:pPr>
              <w:rPr>
                <w:sz w:val="25"/>
              </w:rPr>
            </w:pPr>
            <w:r>
              <w:rPr>
                <w:sz w:val="25"/>
              </w:rPr>
              <w:t>Обобщение знаний по курсу «Индивидуальный проект».</w:t>
            </w:r>
          </w:p>
        </w:tc>
        <w:tc>
          <w:tcPr>
            <w:tcW w:type="dxa" w:w="12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A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  <w:tc>
          <w:tcPr>
            <w:tcW w:type="dxa" w:w="1619"/>
            <w:tcBorders>
              <w:top w:color="000000" w:sz="4" w:val="single"/>
              <w:left w:color="000000" w:sz="4" w:val="single"/>
              <w:bottom w:color="000000" w:sz="4" w:val="single"/>
              <w:right w:color="000000" w:sz="12" w:val="single"/>
            </w:tcBorders>
            <w:shd w:fill="auto" w:val="clear"/>
            <w:vAlign w:val="center"/>
          </w:tcPr>
          <w:p w14:paraId="1B010000">
            <w:pPr>
              <w:tabs>
                <w:tab w:leader="none" w:pos="567" w:val="left"/>
              </w:tabs>
              <w:ind w:hanging="23" w:left="57"/>
              <w:rPr>
                <w:sz w:val="25"/>
              </w:rPr>
            </w:pPr>
          </w:p>
        </w:tc>
      </w:tr>
    </w:tbl>
    <w:p w14:paraId="1C010000">
      <w:pPr>
        <w:ind/>
        <w:jc w:val="center"/>
        <w:rPr>
          <w:sz w:val="25"/>
        </w:rPr>
      </w:pPr>
    </w:p>
    <w:sectPr>
      <w:pgSz w:h="16838" w:orient="portrait" w:w="11906"/>
      <w:pgMar w:bottom="1134" w:footer="709" w:gutter="0" w:header="709" w:left="1134" w:right="851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lvlText w:val="%1.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num w:numId="1">
    <w:abstractNumId w:val="0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0" w:uiPriority="9" w:unhideWhenUsed="0"/>
    <w:lsdException w:name="heading 7" w:qFormat="1" w:semiHidden="0" w:uiPriority="9" w:unhideWhenUsed="0"/>
    <w:lsdException w:name="heading 8" w:qFormat="1" w:semiHidden="0" w:uiPriority="9" w:unhideWhenUsed="0"/>
    <w:lsdException w:name="heading 9" w:qFormat="1" w:semiHidden="0" w:uiPriority="9" w:unhideWhenUsed="0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6" w:type="paragraph">
    <w:name w:val="Normal"/>
    <w:link w:val="Style_6_ch"/>
    <w:uiPriority w:val="0"/>
    <w:qFormat/>
    <w:rPr>
      <w:sz w:val="24"/>
    </w:rPr>
  </w:style>
  <w:style w:default="1" w:styleId="Style_6_ch" w:type="character">
    <w:name w:val="Normal"/>
    <w:link w:val="Style_6"/>
    <w:rPr>
      <w:sz w:val="24"/>
    </w:rPr>
  </w:style>
  <w:style w:styleId="Style_7" w:type="paragraph">
    <w:name w:val="toc 2"/>
    <w:next w:val="Style_6"/>
    <w:link w:val="Style_7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7_ch" w:type="character">
    <w:name w:val="toc 2"/>
    <w:link w:val="Style_7"/>
    <w:rPr>
      <w:rFonts w:ascii="XO Thames" w:hAnsi="XO Thames"/>
      <w:sz w:val="28"/>
    </w:rPr>
  </w:style>
  <w:style w:styleId="Style_8" w:type="paragraph">
    <w:name w:val="Font Style16"/>
    <w:link w:val="Style_8_ch"/>
    <w:rPr>
      <w:rFonts w:ascii="Times New Roman" w:hAnsi="Times New Roman"/>
      <w:b w:val="1"/>
      <w:sz w:val="18"/>
    </w:rPr>
  </w:style>
  <w:style w:styleId="Style_8_ch" w:type="character">
    <w:name w:val="Font Style16"/>
    <w:link w:val="Style_8"/>
    <w:rPr>
      <w:rFonts w:ascii="Times New Roman" w:hAnsi="Times New Roman"/>
      <w:b w:val="1"/>
      <w:sz w:val="18"/>
    </w:rPr>
  </w:style>
  <w:style w:styleId="Style_9" w:type="paragraph">
    <w:name w:val="Font Style17"/>
    <w:link w:val="Style_9_ch"/>
    <w:rPr>
      <w:rFonts w:ascii="Bookman Old Style" w:hAnsi="Bookman Old Style"/>
      <w:b w:val="1"/>
      <w:sz w:val="16"/>
    </w:rPr>
  </w:style>
  <w:style w:styleId="Style_9_ch" w:type="character">
    <w:name w:val="Font Style17"/>
    <w:link w:val="Style_9"/>
    <w:rPr>
      <w:rFonts w:ascii="Bookman Old Style" w:hAnsi="Bookman Old Style"/>
      <w:b w:val="1"/>
      <w:sz w:val="16"/>
    </w:rPr>
  </w:style>
  <w:style w:styleId="Style_10" w:type="paragraph">
    <w:name w:val="toc 4"/>
    <w:next w:val="Style_6"/>
    <w:link w:val="Style_10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10_ch" w:type="character">
    <w:name w:val="toc 4"/>
    <w:link w:val="Style_10"/>
    <w:rPr>
      <w:rFonts w:ascii="XO Thames" w:hAnsi="XO Thames"/>
      <w:sz w:val="28"/>
    </w:rPr>
  </w:style>
  <w:style w:styleId="Style_11" w:type="paragraph">
    <w:name w:val="heading 7"/>
    <w:basedOn w:val="Style_6"/>
    <w:next w:val="Style_6"/>
    <w:link w:val="Style_11_ch"/>
    <w:uiPriority w:val="9"/>
    <w:qFormat/>
    <w:pPr>
      <w:spacing w:after="60" w:before="240"/>
      <w:ind/>
      <w:outlineLvl w:val="6"/>
    </w:pPr>
    <w:rPr>
      <w:rFonts w:ascii="Calibri" w:hAnsi="Calibri"/>
    </w:rPr>
  </w:style>
  <w:style w:styleId="Style_11_ch" w:type="character">
    <w:name w:val="heading 7"/>
    <w:basedOn w:val="Style_6_ch"/>
    <w:link w:val="Style_11"/>
    <w:rPr>
      <w:rFonts w:ascii="Calibri" w:hAnsi="Calibri"/>
    </w:rPr>
  </w:style>
  <w:style w:styleId="Style_12" w:type="paragraph">
    <w:name w:val="toc 6"/>
    <w:next w:val="Style_6"/>
    <w:link w:val="Style_12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2_ch" w:type="character">
    <w:name w:val="toc 6"/>
    <w:link w:val="Style_12"/>
    <w:rPr>
      <w:rFonts w:ascii="XO Thames" w:hAnsi="XO Thames"/>
      <w:sz w:val="28"/>
    </w:rPr>
  </w:style>
  <w:style w:styleId="Style_13" w:type="paragraph">
    <w:name w:val="toc 7"/>
    <w:next w:val="Style_6"/>
    <w:link w:val="Style_13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3_ch" w:type="character">
    <w:name w:val="toc 7"/>
    <w:link w:val="Style_13"/>
    <w:rPr>
      <w:rFonts w:ascii="XO Thames" w:hAnsi="XO Thames"/>
      <w:sz w:val="28"/>
    </w:rPr>
  </w:style>
  <w:style w:styleId="Style_14" w:type="paragraph">
    <w:name w:val="Font Style12"/>
    <w:link w:val="Style_14_ch"/>
    <w:rPr>
      <w:rFonts w:ascii="Century Schoolbook" w:hAnsi="Century Schoolbook"/>
      <w:b w:val="1"/>
      <w:sz w:val="14"/>
    </w:rPr>
  </w:style>
  <w:style w:styleId="Style_14_ch" w:type="character">
    <w:name w:val="Font Style12"/>
    <w:link w:val="Style_14"/>
    <w:rPr>
      <w:rFonts w:ascii="Century Schoolbook" w:hAnsi="Century Schoolbook"/>
      <w:b w:val="1"/>
      <w:sz w:val="14"/>
    </w:rPr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2" w:type="paragraph">
    <w:name w:val="c27"/>
    <w:basedOn w:val="Style_6"/>
    <w:link w:val="Style_2_ch"/>
    <w:pPr>
      <w:spacing w:afterAutospacing="on" w:beforeAutospacing="on"/>
      <w:ind/>
    </w:pPr>
  </w:style>
  <w:style w:styleId="Style_2_ch" w:type="character">
    <w:name w:val="c27"/>
    <w:basedOn w:val="Style_6_ch"/>
    <w:link w:val="Style_2"/>
  </w:style>
  <w:style w:styleId="Style_16" w:type="paragraph">
    <w:name w:val="heading 3"/>
    <w:basedOn w:val="Style_6"/>
    <w:next w:val="Style_6"/>
    <w:link w:val="Style_16_ch"/>
    <w:uiPriority w:val="9"/>
    <w:qFormat/>
    <w:pPr>
      <w:keepNext w:val="1"/>
      <w:spacing w:after="60" w:before="240"/>
      <w:ind/>
      <w:outlineLvl w:val="2"/>
    </w:pPr>
    <w:rPr>
      <w:rFonts w:ascii="Arial" w:hAnsi="Arial"/>
      <w:b w:val="1"/>
      <w:sz w:val="26"/>
    </w:rPr>
  </w:style>
  <w:style w:styleId="Style_16_ch" w:type="character">
    <w:name w:val="heading 3"/>
    <w:basedOn w:val="Style_6_ch"/>
    <w:link w:val="Style_16"/>
    <w:rPr>
      <w:rFonts w:ascii="Arial" w:hAnsi="Arial"/>
      <w:b w:val="1"/>
      <w:sz w:val="26"/>
    </w:rPr>
  </w:style>
  <w:style w:styleId="Style_17" w:type="paragraph">
    <w:name w:val="List Paragraph"/>
    <w:basedOn w:val="Style_6"/>
    <w:link w:val="Style_17_ch"/>
    <w:pPr>
      <w:ind w:firstLine="0" w:left="720"/>
      <w:contextualSpacing w:val="1"/>
    </w:pPr>
  </w:style>
  <w:style w:styleId="Style_17_ch" w:type="character">
    <w:name w:val="List Paragraph"/>
    <w:basedOn w:val="Style_6_ch"/>
    <w:link w:val="Style_17"/>
  </w:style>
  <w:style w:styleId="Style_18" w:type="paragraph">
    <w:name w:val="Balloon Text"/>
    <w:basedOn w:val="Style_6"/>
    <w:link w:val="Style_18_ch"/>
    <w:rPr>
      <w:rFonts w:ascii="Arial" w:hAnsi="Arial"/>
      <w:sz w:val="16"/>
    </w:rPr>
  </w:style>
  <w:style w:styleId="Style_18_ch" w:type="character">
    <w:name w:val="Balloon Text"/>
    <w:basedOn w:val="Style_6_ch"/>
    <w:link w:val="Style_18"/>
    <w:rPr>
      <w:rFonts w:ascii="Arial" w:hAnsi="Arial"/>
      <w:sz w:val="16"/>
    </w:rPr>
  </w:style>
  <w:style w:styleId="Style_19" w:type="paragraph">
    <w:name w:val="Style5"/>
    <w:basedOn w:val="Style_6"/>
    <w:link w:val="Style_19_ch"/>
    <w:pPr>
      <w:widowControl w:val="0"/>
      <w:spacing w:line="197" w:lineRule="exact"/>
      <w:ind w:firstLine="346" w:left="0"/>
      <w:jc w:val="both"/>
    </w:pPr>
    <w:rPr>
      <w:rFonts w:ascii="Bookman Old Style" w:hAnsi="Bookman Old Style"/>
    </w:rPr>
  </w:style>
  <w:style w:styleId="Style_19_ch" w:type="character">
    <w:name w:val="Style5"/>
    <w:basedOn w:val="Style_6_ch"/>
    <w:link w:val="Style_19"/>
    <w:rPr>
      <w:rFonts w:ascii="Bookman Old Style" w:hAnsi="Bookman Old Style"/>
    </w:rPr>
  </w:style>
  <w:style w:styleId="Style_20" w:type="paragraph">
    <w:name w:val="footer"/>
    <w:basedOn w:val="Style_6"/>
    <w:link w:val="Style_20_ch"/>
    <w:pPr>
      <w:tabs>
        <w:tab w:leader="none" w:pos="4677" w:val="center"/>
        <w:tab w:leader="none" w:pos="9355" w:val="right"/>
      </w:tabs>
      <w:ind/>
    </w:pPr>
  </w:style>
  <w:style w:styleId="Style_20_ch" w:type="character">
    <w:name w:val="footer"/>
    <w:basedOn w:val="Style_6_ch"/>
    <w:link w:val="Style_20"/>
  </w:style>
  <w:style w:styleId="Style_21" w:type="paragraph">
    <w:name w:val="heading 9"/>
    <w:basedOn w:val="Style_6"/>
    <w:next w:val="Style_6"/>
    <w:link w:val="Style_21_ch"/>
    <w:uiPriority w:val="9"/>
    <w:qFormat/>
    <w:pPr>
      <w:spacing w:after="60" w:before="240"/>
      <w:ind/>
      <w:outlineLvl w:val="8"/>
    </w:pPr>
    <w:rPr>
      <w:rFonts w:ascii="Arial" w:hAnsi="Arial"/>
      <w:sz w:val="22"/>
    </w:rPr>
  </w:style>
  <w:style w:styleId="Style_21_ch" w:type="character">
    <w:name w:val="heading 9"/>
    <w:basedOn w:val="Style_6_ch"/>
    <w:link w:val="Style_21"/>
    <w:rPr>
      <w:rFonts w:ascii="Arial" w:hAnsi="Arial"/>
      <w:sz w:val="22"/>
    </w:rPr>
  </w:style>
  <w:style w:styleId="Style_1" w:type="paragraph">
    <w:name w:val="List Paragraph"/>
    <w:basedOn w:val="Style_6"/>
    <w:link w:val="Style_1_ch"/>
    <w:pPr>
      <w:ind w:firstLine="0" w:left="720"/>
      <w:contextualSpacing w:val="1"/>
    </w:pPr>
  </w:style>
  <w:style w:styleId="Style_1_ch" w:type="character">
    <w:name w:val="List Paragraph"/>
    <w:basedOn w:val="Style_6_ch"/>
    <w:link w:val="Style_1"/>
  </w:style>
  <w:style w:styleId="Style_22" w:type="paragraph">
    <w:name w:val="Normal (Web)"/>
    <w:basedOn w:val="Style_6"/>
    <w:link w:val="Style_22_ch"/>
    <w:pPr>
      <w:spacing w:afterAutospacing="on" w:beforeAutospacing="on"/>
      <w:ind/>
    </w:pPr>
  </w:style>
  <w:style w:styleId="Style_22_ch" w:type="character">
    <w:name w:val="Normal (Web)"/>
    <w:basedOn w:val="Style_6_ch"/>
    <w:link w:val="Style_22"/>
  </w:style>
  <w:style w:styleId="Style_23" w:type="paragraph">
    <w:name w:val="Paragraph Style"/>
    <w:link w:val="Style_23_ch"/>
    <w:rPr>
      <w:rFonts w:ascii="Arial" w:hAnsi="Arial"/>
      <w:sz w:val="24"/>
    </w:rPr>
  </w:style>
  <w:style w:styleId="Style_23_ch" w:type="character">
    <w:name w:val="Paragraph Style"/>
    <w:link w:val="Style_23"/>
    <w:rPr>
      <w:rFonts w:ascii="Arial" w:hAnsi="Arial"/>
      <w:sz w:val="24"/>
    </w:rPr>
  </w:style>
  <w:style w:styleId="Style_24" w:type="paragraph">
    <w:name w:val="toc 3"/>
    <w:next w:val="Style_6"/>
    <w:link w:val="Style_2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24_ch" w:type="character">
    <w:name w:val="toc 3"/>
    <w:link w:val="Style_24"/>
    <w:rPr>
      <w:rFonts w:ascii="XO Thames" w:hAnsi="XO Thames"/>
      <w:sz w:val="28"/>
    </w:rPr>
  </w:style>
  <w:style w:styleId="Style_25" w:type="paragraph">
    <w:name w:val="Font Style18"/>
    <w:link w:val="Style_25_ch"/>
    <w:rPr>
      <w:rFonts w:ascii="Bookman Old Style" w:hAnsi="Bookman Old Style"/>
      <w:sz w:val="18"/>
    </w:rPr>
  </w:style>
  <w:style w:styleId="Style_25_ch" w:type="character">
    <w:name w:val="Font Style18"/>
    <w:link w:val="Style_25"/>
    <w:rPr>
      <w:rFonts w:ascii="Bookman Old Style" w:hAnsi="Bookman Old Style"/>
      <w:sz w:val="18"/>
    </w:rPr>
  </w:style>
  <w:style w:styleId="Style_26" w:type="paragraph">
    <w:name w:val="heading 5"/>
    <w:basedOn w:val="Style_6"/>
    <w:next w:val="Style_6"/>
    <w:link w:val="Style_26_ch"/>
    <w:uiPriority w:val="9"/>
    <w:qFormat/>
    <w:pPr>
      <w:spacing w:after="60" w:before="240"/>
      <w:ind/>
      <w:outlineLvl w:val="4"/>
    </w:pPr>
    <w:rPr>
      <w:rFonts w:ascii="Calibri" w:hAnsi="Calibri"/>
      <w:b w:val="1"/>
      <w:i w:val="1"/>
      <w:sz w:val="26"/>
    </w:rPr>
  </w:style>
  <w:style w:styleId="Style_26_ch" w:type="character">
    <w:name w:val="heading 5"/>
    <w:basedOn w:val="Style_6_ch"/>
    <w:link w:val="Style_26"/>
    <w:rPr>
      <w:rFonts w:ascii="Calibri" w:hAnsi="Calibri"/>
      <w:b w:val="1"/>
      <w:i w:val="1"/>
      <w:sz w:val="26"/>
    </w:rPr>
  </w:style>
  <w:style w:styleId="Style_27" w:type="paragraph">
    <w:name w:val="heading 1"/>
    <w:basedOn w:val="Style_6"/>
    <w:next w:val="Style_6"/>
    <w:link w:val="Style_27_ch"/>
    <w:uiPriority w:val="9"/>
    <w:qFormat/>
    <w:pPr>
      <w:keepNext w:val="1"/>
      <w:ind/>
      <w:outlineLvl w:val="0"/>
    </w:pPr>
    <w:rPr>
      <w:b w:val="1"/>
      <w:i w:val="1"/>
      <w:sz w:val="28"/>
      <w:u w:val="single"/>
    </w:rPr>
  </w:style>
  <w:style w:styleId="Style_27_ch" w:type="character">
    <w:name w:val="heading 1"/>
    <w:basedOn w:val="Style_6_ch"/>
    <w:link w:val="Style_27"/>
    <w:rPr>
      <w:b w:val="1"/>
      <w:i w:val="1"/>
      <w:sz w:val="28"/>
      <w:u w:val="single"/>
    </w:rPr>
  </w:style>
  <w:style w:styleId="Style_3" w:type="paragraph">
    <w:name w:val="c19"/>
    <w:link w:val="Style_3_ch"/>
  </w:style>
  <w:style w:styleId="Style_3_ch" w:type="character">
    <w:name w:val="c19"/>
    <w:link w:val="Style_3"/>
  </w:style>
  <w:style w:styleId="Style_28" w:type="paragraph">
    <w:name w:val="Hyperlink"/>
    <w:link w:val="Style_28_ch"/>
    <w:rPr>
      <w:color w:val="0000FF"/>
      <w:u w:val="single"/>
    </w:rPr>
  </w:style>
  <w:style w:styleId="Style_28_ch" w:type="character">
    <w:name w:val="Hyperlink"/>
    <w:link w:val="Style_28"/>
    <w:rPr>
      <w:color w:val="0000FF"/>
      <w:u w:val="single"/>
    </w:rPr>
  </w:style>
  <w:style w:styleId="Style_29" w:type="paragraph">
    <w:name w:val="Footnote"/>
    <w:link w:val="Style_29_ch"/>
    <w:pPr>
      <w:ind w:firstLine="851" w:left="0"/>
      <w:jc w:val="both"/>
    </w:pPr>
    <w:rPr>
      <w:rFonts w:ascii="XO Thames" w:hAnsi="XO Thames"/>
      <w:sz w:val="22"/>
    </w:rPr>
  </w:style>
  <w:style w:styleId="Style_29_ch" w:type="character">
    <w:name w:val="Footnote"/>
    <w:link w:val="Style_29"/>
    <w:rPr>
      <w:rFonts w:ascii="XO Thames" w:hAnsi="XO Thames"/>
      <w:sz w:val="22"/>
    </w:rPr>
  </w:style>
  <w:style w:styleId="Style_30" w:type="paragraph">
    <w:name w:val="heading 8"/>
    <w:basedOn w:val="Style_6"/>
    <w:next w:val="Style_6"/>
    <w:link w:val="Style_30_ch"/>
    <w:uiPriority w:val="9"/>
    <w:qFormat/>
    <w:pPr>
      <w:spacing w:after="60" w:before="240"/>
      <w:ind/>
      <w:outlineLvl w:val="7"/>
    </w:pPr>
    <w:rPr>
      <w:rFonts w:ascii="Calibri" w:hAnsi="Calibri"/>
      <w:i w:val="1"/>
    </w:rPr>
  </w:style>
  <w:style w:styleId="Style_30_ch" w:type="character">
    <w:name w:val="heading 8"/>
    <w:basedOn w:val="Style_6_ch"/>
    <w:link w:val="Style_30"/>
    <w:rPr>
      <w:rFonts w:ascii="Calibri" w:hAnsi="Calibri"/>
      <w:i w:val="1"/>
    </w:rPr>
  </w:style>
  <w:style w:styleId="Style_31" w:type="paragraph">
    <w:name w:val="toc 1"/>
    <w:next w:val="Style_6"/>
    <w:link w:val="Style_3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31_ch" w:type="character">
    <w:name w:val="toc 1"/>
    <w:link w:val="Style_31"/>
    <w:rPr>
      <w:rFonts w:ascii="XO Thames" w:hAnsi="XO Thames"/>
      <w:b w:val="1"/>
      <w:sz w:val="28"/>
    </w:rPr>
  </w:style>
  <w:style w:styleId="Style_32" w:type="paragraph">
    <w:name w:val="Header and Footer"/>
    <w:link w:val="Style_32_ch"/>
    <w:pPr>
      <w:spacing w:line="240" w:lineRule="auto"/>
      <w:ind/>
      <w:jc w:val="both"/>
    </w:pPr>
    <w:rPr>
      <w:rFonts w:ascii="XO Thames" w:hAnsi="XO Thames"/>
      <w:sz w:val="20"/>
    </w:rPr>
  </w:style>
  <w:style w:styleId="Style_32_ch" w:type="character">
    <w:name w:val="Header and Footer"/>
    <w:link w:val="Style_32"/>
    <w:rPr>
      <w:rFonts w:ascii="XO Thames" w:hAnsi="XO Thames"/>
      <w:sz w:val="20"/>
    </w:rPr>
  </w:style>
  <w:style w:styleId="Style_33" w:type="paragraph">
    <w:name w:val="toc 9"/>
    <w:next w:val="Style_6"/>
    <w:link w:val="Style_3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33_ch" w:type="character">
    <w:name w:val="toc 9"/>
    <w:link w:val="Style_33"/>
    <w:rPr>
      <w:rFonts w:ascii="XO Thames" w:hAnsi="XO Thames"/>
      <w:sz w:val="28"/>
    </w:rPr>
  </w:style>
  <w:style w:styleId="Style_34" w:type="paragraph">
    <w:name w:val="Абзац списка1"/>
    <w:basedOn w:val="Style_6"/>
    <w:link w:val="Style_34_ch"/>
    <w:pPr>
      <w:ind w:firstLine="0" w:left="720"/>
      <w:contextualSpacing w:val="1"/>
    </w:pPr>
  </w:style>
  <w:style w:styleId="Style_34_ch" w:type="character">
    <w:name w:val="Абзац списка1"/>
    <w:basedOn w:val="Style_6_ch"/>
    <w:link w:val="Style_34"/>
  </w:style>
  <w:style w:styleId="Style_35" w:type="paragraph">
    <w:name w:val="toc 8"/>
    <w:next w:val="Style_6"/>
    <w:link w:val="Style_3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5_ch" w:type="character">
    <w:name w:val="toc 8"/>
    <w:link w:val="Style_35"/>
    <w:rPr>
      <w:rFonts w:ascii="XO Thames" w:hAnsi="XO Thames"/>
      <w:sz w:val="28"/>
    </w:rPr>
  </w:style>
  <w:style w:styleId="Style_36" w:type="paragraph">
    <w:name w:val="toc 5"/>
    <w:next w:val="Style_6"/>
    <w:link w:val="Style_3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6_ch" w:type="character">
    <w:name w:val="toc 5"/>
    <w:link w:val="Style_36"/>
    <w:rPr>
      <w:rFonts w:ascii="XO Thames" w:hAnsi="XO Thames"/>
      <w:sz w:val="28"/>
    </w:rPr>
  </w:style>
  <w:style w:styleId="Style_4" w:type="paragraph">
    <w:name w:val="No Spacing"/>
    <w:link w:val="Style_4_ch"/>
    <w:rPr>
      <w:sz w:val="24"/>
    </w:rPr>
  </w:style>
  <w:style w:styleId="Style_4_ch" w:type="character">
    <w:name w:val="No Spacing"/>
    <w:link w:val="Style_4"/>
    <w:rPr>
      <w:sz w:val="24"/>
    </w:rPr>
  </w:style>
  <w:style w:styleId="Style_37" w:type="paragraph">
    <w:name w:val="Font Style15"/>
    <w:link w:val="Style_37_ch"/>
    <w:rPr>
      <w:rFonts w:ascii="Times New Roman" w:hAnsi="Times New Roman"/>
      <w:b w:val="1"/>
      <w:i w:val="1"/>
      <w:sz w:val="18"/>
    </w:rPr>
  </w:style>
  <w:style w:styleId="Style_37_ch" w:type="character">
    <w:name w:val="Font Style15"/>
    <w:link w:val="Style_37"/>
    <w:rPr>
      <w:rFonts w:ascii="Times New Roman" w:hAnsi="Times New Roman"/>
      <w:b w:val="1"/>
      <w:i w:val="1"/>
      <w:sz w:val="18"/>
    </w:rPr>
  </w:style>
  <w:style w:styleId="Style_38" w:type="paragraph">
    <w:name w:val="Style6"/>
    <w:basedOn w:val="Style_6"/>
    <w:link w:val="Style_38_ch"/>
    <w:pPr>
      <w:widowControl w:val="0"/>
      <w:spacing w:line="220" w:lineRule="exact"/>
      <w:ind w:firstLine="341" w:left="0"/>
      <w:jc w:val="both"/>
    </w:pPr>
  </w:style>
  <w:style w:styleId="Style_38_ch" w:type="character">
    <w:name w:val="Style6"/>
    <w:basedOn w:val="Style_6_ch"/>
    <w:link w:val="Style_38"/>
  </w:style>
  <w:style w:styleId="Style_39" w:type="paragraph">
    <w:name w:val="Subtitle"/>
    <w:next w:val="Style_6"/>
    <w:link w:val="Style_39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9_ch" w:type="character">
    <w:name w:val="Subtitle"/>
    <w:link w:val="Style_39"/>
    <w:rPr>
      <w:rFonts w:ascii="XO Thames" w:hAnsi="XO Thames"/>
      <w:i w:val="1"/>
      <w:sz w:val="24"/>
    </w:rPr>
  </w:style>
  <w:style w:styleId="Style_40" w:type="paragraph">
    <w:name w:val="header"/>
    <w:basedOn w:val="Style_6"/>
    <w:link w:val="Style_40_ch"/>
    <w:pPr>
      <w:tabs>
        <w:tab w:leader="none" w:pos="4677" w:val="center"/>
        <w:tab w:leader="none" w:pos="9355" w:val="right"/>
      </w:tabs>
      <w:ind/>
    </w:pPr>
  </w:style>
  <w:style w:styleId="Style_40_ch" w:type="character">
    <w:name w:val="header"/>
    <w:basedOn w:val="Style_6_ch"/>
    <w:link w:val="Style_40"/>
  </w:style>
  <w:style w:styleId="Style_41" w:type="paragraph">
    <w:name w:val="Title"/>
    <w:basedOn w:val="Style_6"/>
    <w:link w:val="Style_41_ch"/>
    <w:uiPriority w:val="10"/>
    <w:qFormat/>
    <w:pPr>
      <w:spacing w:after="60" w:before="240"/>
      <w:ind/>
      <w:jc w:val="center"/>
      <w:outlineLvl w:val="0"/>
    </w:pPr>
    <w:rPr>
      <w:rFonts w:ascii="Arial" w:hAnsi="Arial"/>
      <w:b w:val="1"/>
      <w:sz w:val="32"/>
    </w:rPr>
  </w:style>
  <w:style w:styleId="Style_41_ch" w:type="character">
    <w:name w:val="Title"/>
    <w:basedOn w:val="Style_6_ch"/>
    <w:link w:val="Style_41"/>
    <w:rPr>
      <w:rFonts w:ascii="Arial" w:hAnsi="Arial"/>
      <w:b w:val="1"/>
      <w:sz w:val="32"/>
    </w:rPr>
  </w:style>
  <w:style w:styleId="Style_42" w:type="paragraph">
    <w:name w:val="heading 4"/>
    <w:next w:val="Style_6"/>
    <w:link w:val="Style_42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42_ch" w:type="character">
    <w:name w:val="heading 4"/>
    <w:link w:val="Style_42"/>
    <w:rPr>
      <w:rFonts w:ascii="XO Thames" w:hAnsi="XO Thames"/>
      <w:b w:val="1"/>
      <w:sz w:val="24"/>
    </w:rPr>
  </w:style>
  <w:style w:styleId="Style_43" w:type="paragraph">
    <w:name w:val="heading 2"/>
    <w:basedOn w:val="Style_6"/>
    <w:next w:val="Style_6"/>
    <w:link w:val="Style_43_ch"/>
    <w:uiPriority w:val="9"/>
    <w:qFormat/>
    <w:pPr>
      <w:keepNext w:val="1"/>
      <w:spacing w:after="60" w:before="240"/>
      <w:ind/>
      <w:outlineLvl w:val="1"/>
    </w:pPr>
    <w:rPr>
      <w:rFonts w:ascii="Cambria" w:hAnsi="Cambria"/>
      <w:b w:val="1"/>
      <w:i w:val="1"/>
      <w:sz w:val="28"/>
    </w:rPr>
  </w:style>
  <w:style w:styleId="Style_43_ch" w:type="character">
    <w:name w:val="heading 2"/>
    <w:basedOn w:val="Style_6_ch"/>
    <w:link w:val="Style_43"/>
    <w:rPr>
      <w:rFonts w:ascii="Cambria" w:hAnsi="Cambria"/>
      <w:b w:val="1"/>
      <w:i w:val="1"/>
      <w:sz w:val="28"/>
    </w:rPr>
  </w:style>
  <w:style w:styleId="Style_44" w:type="paragraph">
    <w:name w:val="heading 6"/>
    <w:basedOn w:val="Style_6"/>
    <w:next w:val="Style_6"/>
    <w:link w:val="Style_44_ch"/>
    <w:uiPriority w:val="9"/>
    <w:qFormat/>
    <w:pPr>
      <w:spacing w:after="60" w:before="240"/>
      <w:ind/>
      <w:outlineLvl w:val="5"/>
    </w:pPr>
    <w:rPr>
      <w:rFonts w:ascii="Calibri" w:hAnsi="Calibri"/>
      <w:b w:val="1"/>
      <w:sz w:val="22"/>
    </w:rPr>
  </w:style>
  <w:style w:styleId="Style_44_ch" w:type="character">
    <w:name w:val="heading 6"/>
    <w:basedOn w:val="Style_6_ch"/>
    <w:link w:val="Style_44"/>
    <w:rPr>
      <w:rFonts w:ascii="Calibri" w:hAnsi="Calibri"/>
      <w:b w:val="1"/>
      <w:sz w:val="22"/>
    </w:rPr>
  </w:style>
  <w:style w:styleId="Style_45" w:type="table">
    <w:name w:val="Table Grid"/>
    <w:basedOn w:val="Style_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5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8" Target="numbering.xml" Type="http://schemas.openxmlformats.org/officeDocument/2006/relationships/numbering"/>
  <Relationship Id="rId7" Target="theme/theme1.xml" Type="http://schemas.openxmlformats.org/officeDocument/2006/relationships/theme"/>
  <Relationship Id="rId6" Target="webSettings.xml" Type="http://schemas.openxmlformats.org/officeDocument/2006/relationships/webSettings"/>
  <Relationship Id="rId5" Target="stylesWithEffects.xml" Type="http://schemas.microsoft.com/office/2007/relationships/stylesWithEffects"/>
  <Relationship Id="rId4" Target="styles.xml" Type="http://schemas.openxmlformats.org/officeDocument/2006/relationships/styles"/>
  <Relationship Id="rId3" Target="settings.xml" Type="http://schemas.openxmlformats.org/officeDocument/2006/relationships/settings"/>
  <Relationship Id="rId2" Target="fontTable.xml" Type="http://schemas.openxmlformats.org/officeDocument/2006/relationships/fontTabl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MyOffice-CoreFramework-Linux/25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2024-09-10T07:41:15Z</dcterms:modified>
</cp:coreProperties>
</file>