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E4D" w:rsidRDefault="00097124">
      <w:pPr>
        <w:spacing w:after="0" w:line="264" w:lineRule="auto"/>
        <w:ind w:left="120"/>
        <w:jc w:val="both"/>
        <w:rPr>
          <w:lang w:val="ru-RU"/>
        </w:rPr>
      </w:pPr>
      <w:bookmarkStart w:id="0" w:name="block-13183299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763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9-25_0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6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F958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0E4D" w:rsidRDefault="00390E4D">
      <w:pPr>
        <w:spacing w:after="0" w:line="264" w:lineRule="auto"/>
        <w:ind w:left="120"/>
        <w:jc w:val="both"/>
        <w:rPr>
          <w:lang w:val="ru-RU"/>
        </w:rPr>
      </w:pP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сности жизнедеятельности» и предусматривает непосредственное применение при реализации ООП СОО.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твия человека с окружающей средой, преемственности приобретения обучающимися знаний и формирования у них умений и навыков в области безопасности жизнедеятельности.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Программа ОБЖ обеспечивает реализацию практико-ориентированного подхода в преподавании ОБЖ,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оциальной и информационной сферах.</w:t>
      </w:r>
    </w:p>
    <w:p w:rsidR="00390E4D" w:rsidRDefault="00F958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Программа ОБЖ обеспечивает:</w:t>
      </w:r>
    </w:p>
    <w:p w:rsidR="00390E4D" w:rsidRDefault="00F958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390E4D" w:rsidRDefault="00F958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390E4D" w:rsidRDefault="00F958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взаимосвязь личностных, метапредметных и предметных резуль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татов освоения учебного предмета ОБЖ на уровнях основного общего и среднего общего образования;</w:t>
      </w:r>
    </w:p>
    <w:p w:rsidR="00390E4D" w:rsidRDefault="00F958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учебного предмета ОБЖ структурно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представлено отдельными модулями (тематическими линиями), обеспечивающими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на уровнях основного общего и среднего общего образования: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2. «Основы обороны го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сударства».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ействия экстремизму и терроризму».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ти её избегать, при необходимости безопасно действовать».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ения безопасности в повседневной жизни.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анных навыков и умений, формирование компетенций в области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Изучение ОБЖ направлено на достижение базового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сти, общества и государства, что предполагает:</w:t>
      </w:r>
    </w:p>
    <w:p w:rsidR="00390E4D" w:rsidRDefault="00F958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390E4D" w:rsidRDefault="00F958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х благополучия и устойчивого развития личности, общества и государства;</w:t>
      </w:r>
    </w:p>
    <w:p w:rsidR="00390E4D" w:rsidRDefault="00F958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времени.</w:t>
      </w:r>
    </w:p>
    <w:p w:rsidR="00390E4D" w:rsidRDefault="00390E4D">
      <w:pPr>
        <w:spacing w:after="0" w:line="264" w:lineRule="auto"/>
        <w:ind w:left="120"/>
        <w:jc w:val="both"/>
        <w:rPr>
          <w:lang w:val="ru-RU"/>
        </w:rPr>
      </w:pPr>
    </w:p>
    <w:p w:rsidR="00390E4D" w:rsidRDefault="00F958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390E4D" w:rsidRDefault="00390E4D">
      <w:pPr>
        <w:spacing w:after="0" w:line="264" w:lineRule="auto"/>
        <w:ind w:left="120"/>
        <w:jc w:val="both"/>
        <w:rPr>
          <w:lang w:val="ru-RU"/>
        </w:rPr>
      </w:pP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</w:p>
    <w:p w:rsidR="00390E4D" w:rsidRDefault="00390E4D">
      <w:pPr>
        <w:rPr>
          <w:lang w:val="ru-RU"/>
        </w:rPr>
        <w:sectPr w:rsidR="00390E4D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 w:line="264" w:lineRule="auto"/>
        <w:ind w:left="120"/>
        <w:jc w:val="both"/>
        <w:rPr>
          <w:lang w:val="ru-RU"/>
        </w:rPr>
      </w:pPr>
      <w:bookmarkStart w:id="2" w:name="block-131833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90E4D" w:rsidRDefault="00390E4D">
      <w:pPr>
        <w:spacing w:after="0" w:line="264" w:lineRule="auto"/>
        <w:ind w:left="120"/>
        <w:jc w:val="both"/>
        <w:rPr>
          <w:lang w:val="ru-RU"/>
        </w:rPr>
      </w:pP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Корпоративный, индивидуальный, групповой уровень культуры безопасности. Общественно-государственный уровень культуры безопасности жизнедеятельнос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ти.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Общие правила безопасности жизнедеятельности.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го порядка. Меры противодействия вовлечению в несанкционированные публичные мероприятия.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Явные и скрытые опасности современных развлечений молодёжи. Зацепинг. Административная ответственность за занятия зацепингом и руфингом. Диггерство и его опасности. От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ветственность за диггерство. Паркур. Селфи. Основные меры безопасности для паркура и селфи. Флешмоб. Ответственность за участие во флешмобе, носящем антиобщественный характер.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, водителей.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Электросамокат. Питбайк. Монокол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есо. Сегвей. Гироскутер.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Дорожные знаки (основные группы). Порядок движения. Дорожная разметка и её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оказания первой помощи.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Правила безопасного поведения на железнодо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Источники опасности в быту. Причины пожаров в жилых помещениях. Правила поведения и действия при пожаре. Электро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бытовой химии. Правила обращения с ними и хранения. Аварии на комм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унальных системах жизнеобеспечения. Порядок вызова аварийных служб и взаимодействия с ними.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финансовая безопасность. Информационная безопасность Российской Федерации. Угроза информационной безопасности.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безопасность детей. П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равила информационной безопасности в социальных сетях. Адреса электронной почты. Никнейм. Гражданская, административная и уголовная ответственность в информационной сфере.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Порядо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 действий при попадании в опасную ситуацию. Порядок действий в случаях, когда потерялся человек.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 конфликтов. Способы противодействия буллингу и прояв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лению насилия.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Федерации. Войска, воинские формирования, службы,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которые привлекаются к обороне страны.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освидетельствования о годности гражданина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 военной службе.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военно-учётным специальностям солдат, матросов, сер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Вооружённые Силы Российской Федерации – гарант обеспечения национальн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Федерации (созданы в 1992 г.).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дные дни) России. Памятные даты России.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Российской Федерации и стратегические национальные при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идная война и способы противодействия ей.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Российской Федерации. Воинские звания военнослужащих. Военная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форма одежды и знаки различия военнослужащих.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«ЮНАРМИЯ». Модернизация во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воинской профессии. Индивидуальные качества, 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Вооружённых Сил Российской Федерации, МВД России, ФСБ Ро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ссии, МЧС России.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. Вручение воинской части государственной награды.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на военную службу,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4. «Защита населен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ия Российской Федерации от опасных и чрезвычайных ситуаций».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ния деятельности государства по защите населения от опасных и чрезвычайных ситуаций.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случае возникновения чрезвычайных ситуаций и других).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еятельность МЧС России.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Гражданская оборона и её основные задачи на современном эта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ой обороны. Правила поведения населения в зонах химического и радиационного загрязнения.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Оказание первой помощи при поражении аварийно-химически опасными веществами. Правила поведения при угрозе чрезвычайных ситуаций, возникающих при ведении военных действ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ий. Эвакуация гражданского населения и её виды. Упреждающая и заблаговременная эвакуация. Общая и частичная эвакуация.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органов дыхания и средства индивидуальной защиты кожи. Использо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вание медицинских средств индивидуальной защиты.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5. «Безопасность в природной среде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и экологическая безопасность».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Чрезвы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Экологическая безопасность и охрана окружающей среды. Нормы предельно допустимой концентрации вредных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(Роспотребнадзор). Федеральный закон от 10 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нваря 2002 г. № 7-ФЗ «Об охране окружающей среды».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rFonts w:ascii="Times New Roman" w:hAnsi="Times New Roman"/>
          <w:color w:val="000000"/>
          <w:spacing w:val="-2"/>
          <w:sz w:val="28"/>
        </w:rPr>
        <w:t>TDS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-метры (солемеры). Шумомеры. Люксметры. Бытовые дозиметры (радиометры). Бытовые нитратомеры.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Основные виды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противодейст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вия экстремизму и терроризму».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террористической д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еятельности.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за участие в экстремистско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антитеррористич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еский комитет (НАК) и его предназначение. Основные задачи НАК. Федеральный оперативный штаб.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рства, которые принимаются в соответствии с установленным уровнем террористической опасности.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рористической операции.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рроризм на криминальной основе. Терроризм на национальной основе. Технологический терроризм. Кибертерроризм.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Борьба с угрозой экстремистской и террористической опасности. Способы противодействия вовлечению в экстремистскую и террористическую деятельность.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экстремистское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течение. Как избежать вербовки в экстремистскую организацию.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может бы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ть замаскировано взрывное устройство. Безопасное поведение в толпе. Безопасное поведение при захвате в заложники.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 правовая баз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составляющие здо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Репродукти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здоровью. Прав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Наказания за дейс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Комплексы профила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Освоение основ 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едицинских знаний.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избежать возникно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Биологическая безопасность. Биолого-социальные чрезвычайные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ситуации. Источник биолого-социальной чрезвычайной ситуации.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-19. Правила профилактик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коронавируса.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беспомощном состоянии, без возможности получения помощи.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деятельности. Острая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(транспортировки)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пострадавших.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Оружие пехотинца и правила обращения с ним.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Действия в современном общевойсковом бою. Состав и вооружение мотострелк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ового отделения на БМП. Инженерное оборудование позиции солдата. Одиночный окоп.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Общевойсковой защ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итный комплект (ОЗК). Табельные медицинские средства индивидуальной защиты. Первая помощь в бою. Различные способы переноски и оттаскивания раненых с поля боя.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Укрытия для боев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ой техники. Убежища для личного состава.</w:t>
      </w:r>
    </w:p>
    <w:p w:rsidR="00390E4D" w:rsidRDefault="00390E4D">
      <w:pPr>
        <w:rPr>
          <w:lang w:val="ru-RU"/>
        </w:rPr>
        <w:sectPr w:rsidR="00390E4D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 w:line="264" w:lineRule="auto"/>
        <w:ind w:left="120"/>
        <w:jc w:val="both"/>
        <w:rPr>
          <w:lang w:val="ru-RU"/>
        </w:rPr>
      </w:pPr>
      <w:bookmarkStart w:id="3" w:name="block-1318330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390E4D" w:rsidRDefault="00390E4D">
      <w:pPr>
        <w:spacing w:after="0" w:line="264" w:lineRule="auto"/>
        <w:ind w:left="120"/>
        <w:jc w:val="both"/>
        <w:rPr>
          <w:lang w:val="ru-RU"/>
        </w:rPr>
      </w:pP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достигаются в единстве учебной и воспитательной деятельности в соответс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результаты, формируемые в ходе изучения ОБЖ, должны способствовать процессам самопознания, самовоспитания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льном отношении к традициям многонационального народа Российской Федерации и к жизни в целом.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1) гражданское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гражданской позиции обучающегося, готового и способного применят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ь принципы и правила безопасного поведения в течение всей жизни;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связанных с безопасностью жизнедеятельности;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государством в обеспечении безопасности жизни и здо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ровья населения;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lastRenderedPageBreak/>
        <w:t>2) патриотическое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ии и флота;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юдей;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осознание духовных ценностей российского народа и российского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воинства;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смягчению их последствий;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урой безопасности жизнедеятельности;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мировоззрения, соответствующего текущему уровню развития общей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ета ОБЖ, осознание его значения для безопасной и продуктивной жизнедеятельности человека, общества и государства;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 действовать в опасных, экстремальных и чрезвычайных ситуациях);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енять их в случае необходимости;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тру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интерес к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различным сферам профессиональной деятельности, включая военно-профессиональную деятельность;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экологической культуры, понимани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и осуществление действий в окружающей среде 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 основе соблюдения экологической грамотности и разумного природопользования;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расшир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ение представлений о деятельности экологической направленности.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действия, коммуникативные униве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рсальные учебные действия, регулятивные универсальные учебные действия, совместная деятельность. 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обобщ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развивать тво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рческое мышление при решении ситуационных задач.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безопасности жизнедеятельности;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ием объекта (явления) в повседневной жизни;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изации в реальных ситуациях;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я работать с информацией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личности;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морально-эти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ческим нормам;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пасности и гигиены.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вную жизнь;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иктных ситуаций;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ь собственные задачи в образовательной деятельности и жизненных ситуациях;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делать осознанный выбор в новой ситуации, аргументировать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его; брать ответственность за своё решение;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овательный и культурный уровень.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возникну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ть при их разрешении; вносить коррективы в свою деятельность; контролировать соответствие результатов целям;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недостатки 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достоинства, невозможности контроля всего вокруг;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поним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ать и использовать преимущества командной и индивидуальной работы в конкретной учебной ситуации;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поз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 освоения программы по ОБЖ на ур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овне среднего общего образования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рства.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результаты, формируемые в ходе изучения ОБЖ, должны обес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печивать: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2)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нание порядка действий в экстремальных и чрезвычайных ситуациях;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тношения к вредным привычкам; знания о необходимых действиях при чрезвычайных ситуациях биолого-социального характера;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9) сформированность представлений об опасности и негативном влиянии на жизн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10) сформированность представлений о роли России в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11) з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бязанностей гражданина в этой области;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нии безопасности.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390E4D" w:rsidRDefault="00F958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довательность для освоения обучающимися модулей ОБЖ.</w:t>
      </w:r>
    </w:p>
    <w:p w:rsidR="00390E4D" w:rsidRDefault="00390E4D">
      <w:pPr>
        <w:rPr>
          <w:lang w:val="ru-RU"/>
        </w:rPr>
        <w:sectPr w:rsidR="00390E4D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/>
        <w:ind w:left="120"/>
      </w:pPr>
      <w:bookmarkStart w:id="4" w:name="block-1318330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0E4D" w:rsidRDefault="00F95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4444"/>
        <w:gridCol w:w="2909"/>
        <w:gridCol w:w="4716"/>
      </w:tblGrid>
      <w:tr w:rsidR="00390E4D">
        <w:trPr>
          <w:trHeight w:val="144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комплексной безопасности"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населения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обороны государства"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воинской профессии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символы, традиции и ритуалы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Вооружённых Силах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защиты населения от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опасных и чрезвычайных ситуаций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противодействия экстремизму и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терроризму"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благополучия личности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основ медицинских знаний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390E4D">
        <w:trPr>
          <w:trHeight w:val="144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</w:tbl>
    <w:p w:rsidR="00390E4D" w:rsidRDefault="00390E4D">
      <w:pPr>
        <w:sectPr w:rsidR="00390E4D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390E4D">
        <w:trPr>
          <w:trHeight w:val="144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и финансовая безопасность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государственной защиты населения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с угрозой экстремистской и террористической опасности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здорового образа жизни"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 w:rsidRPr="00097124">
        <w:trPr>
          <w:trHeight w:val="144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390E4D">
        <w:trPr>
          <w:trHeight w:val="144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службы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</w:tbl>
    <w:p w:rsidR="00390E4D" w:rsidRDefault="00390E4D">
      <w:pPr>
        <w:sectPr w:rsidR="00390E4D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/>
        <w:ind w:left="120"/>
      </w:pPr>
      <w:bookmarkStart w:id="5" w:name="block-131833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0E4D" w:rsidRDefault="00F95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90E4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воинского учёта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Допризывная подготовка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подготовки офицерских кадров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для Вооружённых Сил Российской Федерации, МВД России, ФСБ России, МЧС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Вооружённых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Ритуалы Вооружённых Сил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обязанности и ответственность гражданина в области организации защиты населения от опа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сных и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защиты и предупреждения от экологических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реальной угрозе террористической 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Преимущества здорового образа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 пехотинца и правила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обращения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современном общевойсковом бою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</w:tbl>
    <w:p w:rsidR="00390E4D" w:rsidRDefault="00390E4D">
      <w:pPr>
        <w:sectPr w:rsidR="00390E4D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390E4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E4D" w:rsidRDefault="00390E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390E4D" w:rsidRDefault="00390E4D"/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на воздушном,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железнодорожном и водном транспорте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развития конфликтных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способствующие и препятствующие эскалации конфликта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Составляющие государственной системы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защите населения от опасных и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оборона и ее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современном этапе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террористической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законодательства Российской Федерации в сфере борьбы с наркотизмом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наркотизма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переноскм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(транспортировки) пострадавших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безопасность и военная политика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Воинские должности, звания и военная форма одежды, а также знаки различия военнослужащих Вооружённых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 граждан на военную службу. Поступление на военную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службу по контракту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Альтернативная гражданская служба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90E4D" w:rsidRDefault="00390E4D">
            <w:pPr>
              <w:spacing w:after="0"/>
              <w:ind w:left="135"/>
            </w:pPr>
          </w:p>
        </w:tc>
      </w:tr>
      <w:tr w:rsidR="00390E4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90E4D" w:rsidRDefault="00F95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90E4D" w:rsidRDefault="00390E4D"/>
        </w:tc>
      </w:tr>
    </w:tbl>
    <w:p w:rsidR="00390E4D" w:rsidRDefault="00390E4D">
      <w:pPr>
        <w:sectPr w:rsidR="00390E4D">
          <w:pgSz w:w="16383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F95867">
      <w:pPr>
        <w:spacing w:after="0"/>
        <w:ind w:left="120"/>
      </w:pPr>
      <w:bookmarkStart w:id="6" w:name="block-131833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0E4D" w:rsidRDefault="00F958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0E4D" w:rsidRDefault="00F958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</w:t>
      </w:r>
      <w:r>
        <w:rPr>
          <w:rFonts w:ascii="Times New Roman" w:hAnsi="Times New Roman"/>
          <w:color w:val="000000"/>
          <w:sz w:val="28"/>
          <w:lang w:val="ru-RU"/>
        </w:rPr>
        <w:t>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7" w:name="1cf67330-67df-428f-9a99-0efe5a0fdace"/>
      <w:r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</w:t>
      </w:r>
      <w:r>
        <w:rPr>
          <w:rFonts w:ascii="Times New Roman" w:hAnsi="Times New Roman"/>
          <w:color w:val="000000"/>
          <w:sz w:val="28"/>
          <w:lang w:val="ru-RU"/>
        </w:rPr>
        <w:t>, Маслов М.В.; под ред. Егорова С.Н.,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90E4D" w:rsidRDefault="00F958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90E4D" w:rsidRDefault="00F9586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90E4D" w:rsidRDefault="00F958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0E4D" w:rsidRDefault="00F958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90E4D" w:rsidRDefault="00390E4D">
      <w:pPr>
        <w:spacing w:after="0"/>
        <w:ind w:left="120"/>
        <w:rPr>
          <w:lang w:val="ru-RU"/>
        </w:rPr>
      </w:pPr>
    </w:p>
    <w:p w:rsidR="00390E4D" w:rsidRDefault="00F9586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0E4D" w:rsidRDefault="00F958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:rsidR="00390E4D" w:rsidRDefault="00390E4D">
      <w:pPr>
        <w:sectPr w:rsidR="00390E4D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390E4D" w:rsidRDefault="00390E4D"/>
    <w:sectPr w:rsidR="00390E4D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867" w:rsidRDefault="00F95867">
      <w:pPr>
        <w:spacing w:after="0" w:line="240" w:lineRule="auto"/>
      </w:pPr>
      <w:r>
        <w:separator/>
      </w:r>
    </w:p>
  </w:endnote>
  <w:endnote w:type="continuationSeparator" w:id="0">
    <w:p w:rsidR="00F95867" w:rsidRDefault="00F9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867" w:rsidRDefault="00F95867">
      <w:pPr>
        <w:spacing w:after="0" w:line="240" w:lineRule="auto"/>
      </w:pPr>
      <w:r>
        <w:separator/>
      </w:r>
    </w:p>
  </w:footnote>
  <w:footnote w:type="continuationSeparator" w:id="0">
    <w:p w:rsidR="00F95867" w:rsidRDefault="00F95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1979"/>
    <w:multiLevelType w:val="hybridMultilevel"/>
    <w:tmpl w:val="CA5A8728"/>
    <w:lvl w:ilvl="0" w:tplc="9294A79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BDE528A">
      <w:start w:val="1"/>
      <w:numFmt w:val="decimal"/>
      <w:lvlText w:val=""/>
      <w:lvlJc w:val="left"/>
    </w:lvl>
    <w:lvl w:ilvl="2" w:tplc="F01297E8">
      <w:start w:val="1"/>
      <w:numFmt w:val="decimal"/>
      <w:lvlText w:val=""/>
      <w:lvlJc w:val="left"/>
    </w:lvl>
    <w:lvl w:ilvl="3" w:tplc="382443F8">
      <w:start w:val="1"/>
      <w:numFmt w:val="decimal"/>
      <w:lvlText w:val=""/>
      <w:lvlJc w:val="left"/>
    </w:lvl>
    <w:lvl w:ilvl="4" w:tplc="DCAE7898">
      <w:start w:val="1"/>
      <w:numFmt w:val="decimal"/>
      <w:lvlText w:val=""/>
      <w:lvlJc w:val="left"/>
    </w:lvl>
    <w:lvl w:ilvl="5" w:tplc="BD804BEA">
      <w:start w:val="1"/>
      <w:numFmt w:val="decimal"/>
      <w:lvlText w:val=""/>
      <w:lvlJc w:val="left"/>
    </w:lvl>
    <w:lvl w:ilvl="6" w:tplc="CC767CFA">
      <w:start w:val="1"/>
      <w:numFmt w:val="decimal"/>
      <w:lvlText w:val=""/>
      <w:lvlJc w:val="left"/>
    </w:lvl>
    <w:lvl w:ilvl="7" w:tplc="2AE018E0">
      <w:start w:val="1"/>
      <w:numFmt w:val="decimal"/>
      <w:lvlText w:val=""/>
      <w:lvlJc w:val="left"/>
    </w:lvl>
    <w:lvl w:ilvl="8" w:tplc="C46AD2E0">
      <w:start w:val="1"/>
      <w:numFmt w:val="decimal"/>
      <w:lvlText w:val=""/>
      <w:lvlJc w:val="left"/>
    </w:lvl>
  </w:abstractNum>
  <w:abstractNum w:abstractNumId="1">
    <w:nsid w:val="122B3826"/>
    <w:multiLevelType w:val="hybridMultilevel"/>
    <w:tmpl w:val="7F242820"/>
    <w:lvl w:ilvl="0" w:tplc="B1D0FA7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F78A06A">
      <w:start w:val="1"/>
      <w:numFmt w:val="decimal"/>
      <w:lvlText w:val=""/>
      <w:lvlJc w:val="left"/>
    </w:lvl>
    <w:lvl w:ilvl="2" w:tplc="A6045B50">
      <w:start w:val="1"/>
      <w:numFmt w:val="decimal"/>
      <w:lvlText w:val=""/>
      <w:lvlJc w:val="left"/>
    </w:lvl>
    <w:lvl w:ilvl="3" w:tplc="8FA88634">
      <w:start w:val="1"/>
      <w:numFmt w:val="decimal"/>
      <w:lvlText w:val=""/>
      <w:lvlJc w:val="left"/>
    </w:lvl>
    <w:lvl w:ilvl="4" w:tplc="E9342C90">
      <w:start w:val="1"/>
      <w:numFmt w:val="decimal"/>
      <w:lvlText w:val=""/>
      <w:lvlJc w:val="left"/>
    </w:lvl>
    <w:lvl w:ilvl="5" w:tplc="DEEC89CE">
      <w:start w:val="1"/>
      <w:numFmt w:val="decimal"/>
      <w:lvlText w:val=""/>
      <w:lvlJc w:val="left"/>
    </w:lvl>
    <w:lvl w:ilvl="6" w:tplc="2F984B9C">
      <w:start w:val="1"/>
      <w:numFmt w:val="decimal"/>
      <w:lvlText w:val=""/>
      <w:lvlJc w:val="left"/>
    </w:lvl>
    <w:lvl w:ilvl="7" w:tplc="1FEAAFD0">
      <w:start w:val="1"/>
      <w:numFmt w:val="decimal"/>
      <w:lvlText w:val=""/>
      <w:lvlJc w:val="left"/>
    </w:lvl>
    <w:lvl w:ilvl="8" w:tplc="59DCADD4">
      <w:start w:val="1"/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4D"/>
    <w:rsid w:val="00097124"/>
    <w:rsid w:val="00390E4D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88881-6647-4AF2-A5E7-2C382860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7691</Words>
  <Characters>43845</Characters>
  <Application>Microsoft Office Word</Application>
  <DocSecurity>0</DocSecurity>
  <Lines>365</Lines>
  <Paragraphs>102</Paragraphs>
  <ScaleCrop>false</ScaleCrop>
  <Company/>
  <LinksUpToDate>false</LinksUpToDate>
  <CharactersWithSpaces>51434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NexTouch</cp:lastModifiedBy>
  <cp:revision>4</cp:revision>
  <dcterms:created xsi:type="dcterms:W3CDTF">2023-09-02T18:03:00Z</dcterms:created>
  <dcterms:modified xsi:type="dcterms:W3CDTF">2023-09-25T08:07:00Z</dcterms:modified>
</cp:coreProperties>
</file>